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A50D12" w14:paraId="430A8EA4" w14:textId="77777777">
        <w:tblPrEx>
          <w:tblCellMar>
            <w:top w:w="0" w:type="dxa"/>
            <w:bottom w:w="0" w:type="dxa"/>
          </w:tblCellMar>
        </w:tblPrEx>
        <w:trPr>
          <w:tblCellSpacing w:w="60" w:type="dxa"/>
        </w:trPr>
        <w:tc>
          <w:tcPr>
            <w:tcW w:w="1200" w:type="pct"/>
            <w:shd w:val="clear" w:color="auto" w:fill="E7F0F9"/>
          </w:tcPr>
          <w:p w14:paraId="441CB09A" w14:textId="77777777" w:rsidR="00A50D12" w:rsidRDefault="00000000">
            <w:pPr>
              <w:spacing w:after="0" w:line="240" w:lineRule="auto"/>
            </w:pPr>
            <w:r>
              <w:rPr>
                <w:b/>
              </w:rPr>
              <w:t>RKP broj</w:t>
            </w:r>
          </w:p>
        </w:tc>
        <w:tc>
          <w:tcPr>
            <w:tcW w:w="0" w:type="auto"/>
            <w:shd w:val="clear" w:color="auto" w:fill="E7F0F9"/>
          </w:tcPr>
          <w:p w14:paraId="1BAFD1A6" w14:textId="77777777" w:rsidR="00A50D12" w:rsidRDefault="00000000">
            <w:pPr>
              <w:spacing w:after="0" w:line="240" w:lineRule="auto"/>
            </w:pPr>
            <w:r>
              <w:t>12149</w:t>
            </w:r>
          </w:p>
        </w:tc>
      </w:tr>
      <w:tr w:rsidR="00A50D12" w14:paraId="40FBF505" w14:textId="77777777">
        <w:tblPrEx>
          <w:tblCellMar>
            <w:top w:w="0" w:type="dxa"/>
            <w:bottom w:w="0" w:type="dxa"/>
          </w:tblCellMar>
        </w:tblPrEx>
        <w:trPr>
          <w:tblCellSpacing w:w="60" w:type="dxa"/>
        </w:trPr>
        <w:tc>
          <w:tcPr>
            <w:tcW w:w="1200" w:type="pct"/>
            <w:shd w:val="clear" w:color="auto" w:fill="E7F0F9"/>
          </w:tcPr>
          <w:p w14:paraId="070F1268" w14:textId="77777777" w:rsidR="00A50D12" w:rsidRDefault="00000000">
            <w:pPr>
              <w:spacing w:after="0" w:line="240" w:lineRule="auto"/>
            </w:pPr>
            <w:r>
              <w:rPr>
                <w:b/>
              </w:rPr>
              <w:t>Naziv obveznika</w:t>
            </w:r>
          </w:p>
        </w:tc>
        <w:tc>
          <w:tcPr>
            <w:tcW w:w="0" w:type="auto"/>
            <w:shd w:val="clear" w:color="auto" w:fill="E7F0F9"/>
          </w:tcPr>
          <w:p w14:paraId="6841D7AD" w14:textId="77777777" w:rsidR="00A50D12" w:rsidRDefault="00000000">
            <w:pPr>
              <w:spacing w:after="0" w:line="240" w:lineRule="auto"/>
            </w:pPr>
            <w:r>
              <w:t>Osnovna škola TIN UJEVIĆ</w:t>
            </w:r>
          </w:p>
        </w:tc>
      </w:tr>
      <w:tr w:rsidR="00A50D12" w14:paraId="7A62F859" w14:textId="77777777">
        <w:tblPrEx>
          <w:tblCellMar>
            <w:top w:w="0" w:type="dxa"/>
            <w:bottom w:w="0" w:type="dxa"/>
          </w:tblCellMar>
        </w:tblPrEx>
        <w:trPr>
          <w:tblCellSpacing w:w="60" w:type="dxa"/>
        </w:trPr>
        <w:tc>
          <w:tcPr>
            <w:tcW w:w="1200" w:type="pct"/>
            <w:shd w:val="clear" w:color="auto" w:fill="E7F0F9"/>
          </w:tcPr>
          <w:p w14:paraId="1CF38D3F" w14:textId="77777777" w:rsidR="00A50D12" w:rsidRDefault="00000000">
            <w:pPr>
              <w:spacing w:after="0" w:line="240" w:lineRule="auto"/>
            </w:pPr>
            <w:r>
              <w:rPr>
                <w:b/>
              </w:rPr>
              <w:t>Razina</w:t>
            </w:r>
          </w:p>
        </w:tc>
        <w:tc>
          <w:tcPr>
            <w:tcW w:w="0" w:type="auto"/>
            <w:shd w:val="clear" w:color="auto" w:fill="E7F0F9"/>
          </w:tcPr>
          <w:p w14:paraId="467E67DA" w14:textId="77777777" w:rsidR="00A50D12" w:rsidRDefault="00000000">
            <w:pPr>
              <w:spacing w:after="0" w:line="240" w:lineRule="auto"/>
            </w:pPr>
            <w:r>
              <w:t>31</w:t>
            </w:r>
          </w:p>
        </w:tc>
      </w:tr>
    </w:tbl>
    <w:p w14:paraId="41DE6C96" w14:textId="77777777" w:rsidR="00A50D12" w:rsidRDefault="00000000">
      <w:r>
        <w:br/>
      </w:r>
    </w:p>
    <w:p w14:paraId="0CF892E2" w14:textId="77777777" w:rsidR="00A50D12" w:rsidRDefault="00000000">
      <w:pPr>
        <w:spacing w:line="240" w:lineRule="auto"/>
        <w:jc w:val="center"/>
      </w:pPr>
      <w:r>
        <w:rPr>
          <w:b/>
          <w:sz w:val="28"/>
        </w:rPr>
        <w:t>BILJEŠKE UZ FINANCIJSKE IZVJEŠTAJE</w:t>
      </w:r>
    </w:p>
    <w:p w14:paraId="37279A28" w14:textId="77777777" w:rsidR="00A50D12" w:rsidRDefault="00000000">
      <w:pPr>
        <w:spacing w:line="240" w:lineRule="auto"/>
        <w:jc w:val="center"/>
      </w:pPr>
      <w:r>
        <w:rPr>
          <w:b/>
          <w:sz w:val="28"/>
        </w:rPr>
        <w:t>ZA RAZDOBLJE</w:t>
      </w:r>
    </w:p>
    <w:p w14:paraId="0551B0E6" w14:textId="77777777" w:rsidR="00A50D12" w:rsidRDefault="00000000">
      <w:pPr>
        <w:spacing w:line="240" w:lineRule="auto"/>
        <w:jc w:val="center"/>
      </w:pPr>
      <w:r>
        <w:rPr>
          <w:b/>
          <w:sz w:val="28"/>
        </w:rPr>
        <w:t>I - XII 2025.</w:t>
      </w:r>
    </w:p>
    <w:p w14:paraId="29FC1C28" w14:textId="77777777" w:rsidR="00A50D12" w:rsidRDefault="00A50D12"/>
    <w:p w14:paraId="47D0F1A3" w14:textId="77777777" w:rsidR="00A50D12" w:rsidRDefault="00000000">
      <w:pPr>
        <w:keepNext/>
        <w:spacing w:line="240" w:lineRule="auto"/>
        <w:jc w:val="center"/>
      </w:pPr>
      <w:r>
        <w:rPr>
          <w:b/>
          <w:sz w:val="28"/>
        </w:rPr>
        <w:t>Izvještaj o prihodima i rashodima, primicima i izdacima</w:t>
      </w:r>
    </w:p>
    <w:p w14:paraId="35D2E284" w14:textId="77777777" w:rsidR="00A50D12"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3CBEF1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48B5CB"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7336C3"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08C729"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CD2E16" w14:textId="77777777" w:rsidR="00A50D1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6DD2B1" w14:textId="77777777" w:rsidR="00A50D1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389BD4" w14:textId="77777777" w:rsidR="00A50D12" w:rsidRDefault="00000000">
            <w:pPr>
              <w:keepNext/>
              <w:keepLines/>
              <w:spacing w:after="0" w:line="240" w:lineRule="auto"/>
              <w:jc w:val="center"/>
            </w:pPr>
            <w:r>
              <w:rPr>
                <w:b/>
                <w:sz w:val="18"/>
              </w:rPr>
              <w:t>Indeks (%)</w:t>
            </w:r>
          </w:p>
        </w:tc>
      </w:tr>
      <w:tr w:rsidR="00A50D12" w14:paraId="5476716C" w14:textId="77777777">
        <w:tblPrEx>
          <w:tblCellMar>
            <w:top w:w="0" w:type="dxa"/>
            <w:bottom w:w="0" w:type="dxa"/>
          </w:tblCellMar>
        </w:tblPrEx>
        <w:trPr>
          <w:cantSplit/>
          <w:trHeight w:val="560"/>
        </w:trPr>
        <w:tc>
          <w:tcPr>
            <w:tcW w:w="700" w:type="dxa"/>
            <w:tcMar>
              <w:top w:w="0" w:type="dxa"/>
              <w:bottom w:w="0" w:type="dxa"/>
            </w:tcMar>
            <w:vAlign w:val="center"/>
          </w:tcPr>
          <w:p w14:paraId="0441B607" w14:textId="77777777" w:rsidR="00A50D12" w:rsidRDefault="00000000">
            <w:pPr>
              <w:keepNext/>
              <w:keepLines/>
              <w:spacing w:after="0" w:line="240" w:lineRule="auto"/>
            </w:pPr>
            <w:r>
              <w:rPr>
                <w:sz w:val="18"/>
              </w:rPr>
              <w:t>6</w:t>
            </w:r>
          </w:p>
        </w:tc>
        <w:tc>
          <w:tcPr>
            <w:tcW w:w="3180" w:type="dxa"/>
            <w:tcMar>
              <w:top w:w="0" w:type="dxa"/>
              <w:bottom w:w="0" w:type="dxa"/>
            </w:tcMar>
            <w:vAlign w:val="center"/>
          </w:tcPr>
          <w:p w14:paraId="67F0D793" w14:textId="77777777" w:rsidR="00A50D1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D8B029D" w14:textId="77777777" w:rsidR="00A50D12" w:rsidRDefault="00000000">
            <w:pPr>
              <w:keepNext/>
              <w:keepLines/>
              <w:spacing w:after="0" w:line="240" w:lineRule="auto"/>
            </w:pPr>
            <w:r>
              <w:rPr>
                <w:sz w:val="18"/>
              </w:rPr>
              <w:t>6</w:t>
            </w:r>
          </w:p>
        </w:tc>
        <w:tc>
          <w:tcPr>
            <w:tcW w:w="1860" w:type="dxa"/>
            <w:tcMar>
              <w:top w:w="0" w:type="dxa"/>
              <w:bottom w:w="0" w:type="dxa"/>
            </w:tcMar>
            <w:vAlign w:val="center"/>
          </w:tcPr>
          <w:p w14:paraId="78EFFD33" w14:textId="77777777" w:rsidR="00A50D12" w:rsidRDefault="00000000">
            <w:pPr>
              <w:keepNext/>
              <w:keepLines/>
              <w:spacing w:after="0" w:line="240" w:lineRule="auto"/>
              <w:jc w:val="right"/>
            </w:pPr>
            <w:r>
              <w:rPr>
                <w:sz w:val="18"/>
              </w:rPr>
              <w:t>2.145.889,80</w:t>
            </w:r>
          </w:p>
        </w:tc>
        <w:tc>
          <w:tcPr>
            <w:tcW w:w="1860" w:type="dxa"/>
            <w:tcMar>
              <w:top w:w="0" w:type="dxa"/>
              <w:bottom w:w="0" w:type="dxa"/>
            </w:tcMar>
            <w:vAlign w:val="center"/>
          </w:tcPr>
          <w:p w14:paraId="29D18843" w14:textId="77777777" w:rsidR="00A50D12" w:rsidRDefault="00000000">
            <w:pPr>
              <w:keepNext/>
              <w:keepLines/>
              <w:spacing w:after="0" w:line="240" w:lineRule="auto"/>
              <w:jc w:val="right"/>
            </w:pPr>
            <w:r>
              <w:rPr>
                <w:sz w:val="18"/>
              </w:rPr>
              <w:t>3.057.807,22</w:t>
            </w:r>
          </w:p>
        </w:tc>
        <w:tc>
          <w:tcPr>
            <w:tcW w:w="700" w:type="dxa"/>
            <w:tcMar>
              <w:top w:w="0" w:type="dxa"/>
              <w:bottom w:w="0" w:type="dxa"/>
            </w:tcMar>
            <w:vAlign w:val="center"/>
          </w:tcPr>
          <w:p w14:paraId="66653A32" w14:textId="77777777" w:rsidR="00A50D12" w:rsidRDefault="00000000">
            <w:pPr>
              <w:keepNext/>
              <w:keepLines/>
              <w:spacing w:after="0" w:line="240" w:lineRule="auto"/>
              <w:jc w:val="right"/>
            </w:pPr>
            <w:r>
              <w:rPr>
                <w:sz w:val="18"/>
              </w:rPr>
              <w:t>142,5</w:t>
            </w:r>
          </w:p>
        </w:tc>
      </w:tr>
      <w:tr w:rsidR="00A50D12" w14:paraId="02ED0DE1" w14:textId="77777777">
        <w:tblPrEx>
          <w:tblCellMar>
            <w:top w:w="0" w:type="dxa"/>
            <w:bottom w:w="0" w:type="dxa"/>
          </w:tblCellMar>
        </w:tblPrEx>
        <w:trPr>
          <w:cantSplit/>
          <w:trHeight w:val="560"/>
        </w:trPr>
        <w:tc>
          <w:tcPr>
            <w:tcW w:w="700" w:type="dxa"/>
            <w:tcMar>
              <w:top w:w="0" w:type="dxa"/>
              <w:bottom w:w="0" w:type="dxa"/>
            </w:tcMar>
            <w:vAlign w:val="center"/>
          </w:tcPr>
          <w:p w14:paraId="5EEA0D3B" w14:textId="77777777" w:rsidR="00A50D12" w:rsidRDefault="00000000">
            <w:pPr>
              <w:keepNext/>
              <w:keepLines/>
              <w:spacing w:after="0" w:line="240" w:lineRule="auto"/>
            </w:pPr>
            <w:r>
              <w:rPr>
                <w:sz w:val="18"/>
              </w:rPr>
              <w:t>3</w:t>
            </w:r>
          </w:p>
        </w:tc>
        <w:tc>
          <w:tcPr>
            <w:tcW w:w="3180" w:type="dxa"/>
            <w:tcMar>
              <w:top w:w="0" w:type="dxa"/>
              <w:bottom w:w="0" w:type="dxa"/>
            </w:tcMar>
            <w:vAlign w:val="center"/>
          </w:tcPr>
          <w:p w14:paraId="540A77D5" w14:textId="77777777" w:rsidR="00A50D1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0A419B2" w14:textId="77777777" w:rsidR="00A50D12" w:rsidRDefault="00000000">
            <w:pPr>
              <w:keepNext/>
              <w:keepLines/>
              <w:spacing w:after="0" w:line="240" w:lineRule="auto"/>
            </w:pPr>
            <w:r>
              <w:rPr>
                <w:sz w:val="18"/>
              </w:rPr>
              <w:t>3</w:t>
            </w:r>
          </w:p>
        </w:tc>
        <w:tc>
          <w:tcPr>
            <w:tcW w:w="1860" w:type="dxa"/>
            <w:tcMar>
              <w:top w:w="0" w:type="dxa"/>
              <w:bottom w:w="0" w:type="dxa"/>
            </w:tcMar>
            <w:vAlign w:val="center"/>
          </w:tcPr>
          <w:p w14:paraId="227A8A0C" w14:textId="77777777" w:rsidR="00A50D12" w:rsidRDefault="00000000">
            <w:pPr>
              <w:keepNext/>
              <w:keepLines/>
              <w:spacing w:after="0" w:line="240" w:lineRule="auto"/>
              <w:jc w:val="right"/>
            </w:pPr>
            <w:r>
              <w:rPr>
                <w:sz w:val="18"/>
              </w:rPr>
              <w:t>2.078.786,01</w:t>
            </w:r>
          </w:p>
        </w:tc>
        <w:tc>
          <w:tcPr>
            <w:tcW w:w="1860" w:type="dxa"/>
            <w:tcMar>
              <w:top w:w="0" w:type="dxa"/>
              <w:bottom w:w="0" w:type="dxa"/>
            </w:tcMar>
            <w:vAlign w:val="center"/>
          </w:tcPr>
          <w:p w14:paraId="520EB3AB" w14:textId="77777777" w:rsidR="00A50D12" w:rsidRDefault="00000000">
            <w:pPr>
              <w:keepNext/>
              <w:keepLines/>
              <w:spacing w:after="0" w:line="240" w:lineRule="auto"/>
              <w:jc w:val="right"/>
            </w:pPr>
            <w:r>
              <w:rPr>
                <w:sz w:val="18"/>
              </w:rPr>
              <w:t>2.564.742,18</w:t>
            </w:r>
          </w:p>
        </w:tc>
        <w:tc>
          <w:tcPr>
            <w:tcW w:w="700" w:type="dxa"/>
            <w:tcMar>
              <w:top w:w="0" w:type="dxa"/>
              <w:bottom w:w="0" w:type="dxa"/>
            </w:tcMar>
            <w:vAlign w:val="center"/>
          </w:tcPr>
          <w:p w14:paraId="190F81A3" w14:textId="77777777" w:rsidR="00A50D12" w:rsidRDefault="00000000">
            <w:pPr>
              <w:keepNext/>
              <w:keepLines/>
              <w:spacing w:after="0" w:line="240" w:lineRule="auto"/>
              <w:jc w:val="right"/>
            </w:pPr>
            <w:r>
              <w:rPr>
                <w:sz w:val="18"/>
              </w:rPr>
              <w:t>123,4</w:t>
            </w:r>
          </w:p>
        </w:tc>
      </w:tr>
      <w:tr w:rsidR="00A50D12" w14:paraId="3346C999" w14:textId="77777777">
        <w:tblPrEx>
          <w:tblCellMar>
            <w:top w:w="0" w:type="dxa"/>
            <w:bottom w:w="0" w:type="dxa"/>
          </w:tblCellMar>
        </w:tblPrEx>
        <w:trPr>
          <w:cantSplit/>
          <w:trHeight w:val="560"/>
        </w:trPr>
        <w:tc>
          <w:tcPr>
            <w:tcW w:w="700" w:type="dxa"/>
            <w:tcMar>
              <w:top w:w="0" w:type="dxa"/>
              <w:bottom w:w="0" w:type="dxa"/>
            </w:tcMar>
            <w:vAlign w:val="center"/>
          </w:tcPr>
          <w:p w14:paraId="5B3A2509" w14:textId="77777777" w:rsidR="00A50D12" w:rsidRDefault="00A50D12">
            <w:pPr>
              <w:keepNext/>
              <w:keepLines/>
              <w:spacing w:after="0" w:line="240" w:lineRule="auto"/>
            </w:pPr>
          </w:p>
        </w:tc>
        <w:tc>
          <w:tcPr>
            <w:tcW w:w="3180" w:type="dxa"/>
            <w:tcMar>
              <w:top w:w="0" w:type="dxa"/>
              <w:bottom w:w="0" w:type="dxa"/>
            </w:tcMar>
            <w:vAlign w:val="center"/>
          </w:tcPr>
          <w:p w14:paraId="60ABC23B" w14:textId="77777777" w:rsidR="00A50D12"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38473ADC" w14:textId="77777777" w:rsidR="00A50D12" w:rsidRDefault="00000000">
            <w:pPr>
              <w:keepNext/>
              <w:keepLines/>
              <w:spacing w:after="0" w:line="240" w:lineRule="auto"/>
            </w:pPr>
            <w:r>
              <w:rPr>
                <w:b/>
                <w:sz w:val="18"/>
              </w:rPr>
              <w:t>X001</w:t>
            </w:r>
          </w:p>
        </w:tc>
        <w:tc>
          <w:tcPr>
            <w:tcW w:w="1860" w:type="dxa"/>
            <w:tcMar>
              <w:top w:w="0" w:type="dxa"/>
              <w:bottom w:w="0" w:type="dxa"/>
            </w:tcMar>
            <w:vAlign w:val="center"/>
          </w:tcPr>
          <w:p w14:paraId="1FA9D334" w14:textId="77777777" w:rsidR="00A50D12" w:rsidRDefault="00000000">
            <w:pPr>
              <w:keepNext/>
              <w:keepLines/>
              <w:spacing w:after="0" w:line="240" w:lineRule="auto"/>
              <w:jc w:val="right"/>
            </w:pPr>
            <w:r>
              <w:rPr>
                <w:b/>
                <w:sz w:val="18"/>
              </w:rPr>
              <w:t>67.103,79</w:t>
            </w:r>
          </w:p>
        </w:tc>
        <w:tc>
          <w:tcPr>
            <w:tcW w:w="1860" w:type="dxa"/>
            <w:tcMar>
              <w:top w:w="0" w:type="dxa"/>
              <w:bottom w:w="0" w:type="dxa"/>
            </w:tcMar>
            <w:vAlign w:val="center"/>
          </w:tcPr>
          <w:p w14:paraId="51183E18" w14:textId="77777777" w:rsidR="00A50D12" w:rsidRDefault="00000000">
            <w:pPr>
              <w:keepNext/>
              <w:keepLines/>
              <w:spacing w:after="0" w:line="240" w:lineRule="auto"/>
              <w:jc w:val="right"/>
            </w:pPr>
            <w:r>
              <w:rPr>
                <w:b/>
                <w:sz w:val="18"/>
              </w:rPr>
              <w:t>493.065,04</w:t>
            </w:r>
          </w:p>
        </w:tc>
        <w:tc>
          <w:tcPr>
            <w:tcW w:w="700" w:type="dxa"/>
            <w:tcMar>
              <w:top w:w="0" w:type="dxa"/>
              <w:bottom w:w="0" w:type="dxa"/>
            </w:tcMar>
            <w:vAlign w:val="center"/>
          </w:tcPr>
          <w:p w14:paraId="2A12EE25" w14:textId="77777777" w:rsidR="00A50D12" w:rsidRDefault="00000000">
            <w:pPr>
              <w:keepNext/>
              <w:keepLines/>
              <w:spacing w:after="0" w:line="240" w:lineRule="auto"/>
              <w:jc w:val="right"/>
            </w:pPr>
            <w:r>
              <w:rPr>
                <w:b/>
                <w:sz w:val="18"/>
              </w:rPr>
              <w:t>734,8</w:t>
            </w:r>
          </w:p>
        </w:tc>
      </w:tr>
      <w:tr w:rsidR="00A50D12" w14:paraId="65F7F888" w14:textId="77777777">
        <w:tblPrEx>
          <w:tblCellMar>
            <w:top w:w="0" w:type="dxa"/>
            <w:bottom w:w="0" w:type="dxa"/>
          </w:tblCellMar>
        </w:tblPrEx>
        <w:trPr>
          <w:cantSplit/>
          <w:trHeight w:val="560"/>
        </w:trPr>
        <w:tc>
          <w:tcPr>
            <w:tcW w:w="700" w:type="dxa"/>
            <w:tcMar>
              <w:top w:w="0" w:type="dxa"/>
              <w:bottom w:w="0" w:type="dxa"/>
            </w:tcMar>
            <w:vAlign w:val="center"/>
          </w:tcPr>
          <w:p w14:paraId="3DB0C959" w14:textId="77777777" w:rsidR="00A50D12" w:rsidRDefault="00000000">
            <w:pPr>
              <w:keepNext/>
              <w:keepLines/>
              <w:spacing w:after="0" w:line="240" w:lineRule="auto"/>
            </w:pPr>
            <w:r>
              <w:rPr>
                <w:sz w:val="18"/>
              </w:rPr>
              <w:t>7</w:t>
            </w:r>
          </w:p>
        </w:tc>
        <w:tc>
          <w:tcPr>
            <w:tcW w:w="3180" w:type="dxa"/>
            <w:tcMar>
              <w:top w:w="0" w:type="dxa"/>
              <w:bottom w:w="0" w:type="dxa"/>
            </w:tcMar>
            <w:vAlign w:val="center"/>
          </w:tcPr>
          <w:p w14:paraId="42294235" w14:textId="77777777" w:rsidR="00A50D12"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3DDD427" w14:textId="77777777" w:rsidR="00A50D12" w:rsidRDefault="00000000">
            <w:pPr>
              <w:keepNext/>
              <w:keepLines/>
              <w:spacing w:after="0" w:line="240" w:lineRule="auto"/>
            </w:pPr>
            <w:r>
              <w:rPr>
                <w:sz w:val="18"/>
              </w:rPr>
              <w:t>7</w:t>
            </w:r>
          </w:p>
        </w:tc>
        <w:tc>
          <w:tcPr>
            <w:tcW w:w="1860" w:type="dxa"/>
            <w:tcMar>
              <w:top w:w="0" w:type="dxa"/>
              <w:bottom w:w="0" w:type="dxa"/>
            </w:tcMar>
            <w:vAlign w:val="center"/>
          </w:tcPr>
          <w:p w14:paraId="3020C166" w14:textId="77777777" w:rsidR="00A50D12" w:rsidRDefault="00000000">
            <w:pPr>
              <w:keepNext/>
              <w:keepLines/>
              <w:spacing w:after="0" w:line="240" w:lineRule="auto"/>
              <w:jc w:val="right"/>
            </w:pPr>
            <w:r>
              <w:rPr>
                <w:sz w:val="18"/>
              </w:rPr>
              <w:t>0,00</w:t>
            </w:r>
          </w:p>
        </w:tc>
        <w:tc>
          <w:tcPr>
            <w:tcW w:w="1860" w:type="dxa"/>
            <w:tcMar>
              <w:top w:w="0" w:type="dxa"/>
              <w:bottom w:w="0" w:type="dxa"/>
            </w:tcMar>
            <w:vAlign w:val="center"/>
          </w:tcPr>
          <w:p w14:paraId="73A828BD" w14:textId="77777777" w:rsidR="00A50D12" w:rsidRDefault="00000000">
            <w:pPr>
              <w:keepNext/>
              <w:keepLines/>
              <w:spacing w:after="0" w:line="240" w:lineRule="auto"/>
              <w:jc w:val="right"/>
            </w:pPr>
            <w:r>
              <w:rPr>
                <w:sz w:val="18"/>
              </w:rPr>
              <w:t>0,00</w:t>
            </w:r>
          </w:p>
        </w:tc>
        <w:tc>
          <w:tcPr>
            <w:tcW w:w="700" w:type="dxa"/>
            <w:tcMar>
              <w:top w:w="0" w:type="dxa"/>
              <w:bottom w:w="0" w:type="dxa"/>
            </w:tcMar>
            <w:vAlign w:val="center"/>
          </w:tcPr>
          <w:p w14:paraId="152FCDD4" w14:textId="77777777" w:rsidR="00A50D12" w:rsidRDefault="00000000">
            <w:pPr>
              <w:keepNext/>
              <w:keepLines/>
              <w:spacing w:after="0" w:line="240" w:lineRule="auto"/>
              <w:jc w:val="right"/>
            </w:pPr>
            <w:r>
              <w:rPr>
                <w:sz w:val="18"/>
              </w:rPr>
              <w:t>-</w:t>
            </w:r>
          </w:p>
        </w:tc>
      </w:tr>
      <w:tr w:rsidR="00A50D12" w14:paraId="3E2F34E2" w14:textId="77777777">
        <w:tblPrEx>
          <w:tblCellMar>
            <w:top w:w="0" w:type="dxa"/>
            <w:bottom w:w="0" w:type="dxa"/>
          </w:tblCellMar>
        </w:tblPrEx>
        <w:trPr>
          <w:cantSplit/>
          <w:trHeight w:val="560"/>
        </w:trPr>
        <w:tc>
          <w:tcPr>
            <w:tcW w:w="700" w:type="dxa"/>
            <w:tcMar>
              <w:top w:w="0" w:type="dxa"/>
              <w:bottom w:w="0" w:type="dxa"/>
            </w:tcMar>
            <w:vAlign w:val="center"/>
          </w:tcPr>
          <w:p w14:paraId="75067449" w14:textId="77777777" w:rsidR="00A50D12" w:rsidRDefault="00000000">
            <w:pPr>
              <w:keepNext/>
              <w:keepLines/>
              <w:spacing w:after="0" w:line="240" w:lineRule="auto"/>
            </w:pPr>
            <w:r>
              <w:rPr>
                <w:sz w:val="18"/>
              </w:rPr>
              <w:t>4</w:t>
            </w:r>
          </w:p>
        </w:tc>
        <w:tc>
          <w:tcPr>
            <w:tcW w:w="3180" w:type="dxa"/>
            <w:tcMar>
              <w:top w:w="0" w:type="dxa"/>
              <w:bottom w:w="0" w:type="dxa"/>
            </w:tcMar>
            <w:vAlign w:val="center"/>
          </w:tcPr>
          <w:p w14:paraId="13A81087" w14:textId="77777777" w:rsidR="00A50D1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18ED632" w14:textId="77777777" w:rsidR="00A50D12" w:rsidRDefault="00000000">
            <w:pPr>
              <w:keepNext/>
              <w:keepLines/>
              <w:spacing w:after="0" w:line="240" w:lineRule="auto"/>
            </w:pPr>
            <w:r>
              <w:rPr>
                <w:sz w:val="18"/>
              </w:rPr>
              <w:t>4</w:t>
            </w:r>
          </w:p>
        </w:tc>
        <w:tc>
          <w:tcPr>
            <w:tcW w:w="1860" w:type="dxa"/>
            <w:tcMar>
              <w:top w:w="0" w:type="dxa"/>
              <w:bottom w:w="0" w:type="dxa"/>
            </w:tcMar>
            <w:vAlign w:val="center"/>
          </w:tcPr>
          <w:p w14:paraId="4FBC1D1F" w14:textId="77777777" w:rsidR="00A50D12" w:rsidRDefault="00000000">
            <w:pPr>
              <w:keepNext/>
              <w:keepLines/>
              <w:spacing w:after="0" w:line="240" w:lineRule="auto"/>
              <w:jc w:val="right"/>
            </w:pPr>
            <w:r>
              <w:rPr>
                <w:sz w:val="18"/>
              </w:rPr>
              <w:t>31.355,49</w:t>
            </w:r>
          </w:p>
        </w:tc>
        <w:tc>
          <w:tcPr>
            <w:tcW w:w="1860" w:type="dxa"/>
            <w:tcMar>
              <w:top w:w="0" w:type="dxa"/>
              <w:bottom w:w="0" w:type="dxa"/>
            </w:tcMar>
            <w:vAlign w:val="center"/>
          </w:tcPr>
          <w:p w14:paraId="7EB609BF" w14:textId="77777777" w:rsidR="00A50D12" w:rsidRDefault="00000000">
            <w:pPr>
              <w:keepNext/>
              <w:keepLines/>
              <w:spacing w:after="0" w:line="240" w:lineRule="auto"/>
              <w:jc w:val="right"/>
            </w:pPr>
            <w:r>
              <w:rPr>
                <w:sz w:val="18"/>
              </w:rPr>
              <w:t>730.569,17</w:t>
            </w:r>
          </w:p>
        </w:tc>
        <w:tc>
          <w:tcPr>
            <w:tcW w:w="700" w:type="dxa"/>
            <w:tcMar>
              <w:top w:w="0" w:type="dxa"/>
              <w:bottom w:w="0" w:type="dxa"/>
            </w:tcMar>
            <w:vAlign w:val="center"/>
          </w:tcPr>
          <w:p w14:paraId="28A0DC46" w14:textId="77777777" w:rsidR="00A50D12" w:rsidRDefault="00000000">
            <w:pPr>
              <w:keepNext/>
              <w:keepLines/>
              <w:spacing w:after="0" w:line="240" w:lineRule="auto"/>
              <w:jc w:val="right"/>
            </w:pPr>
            <w:r>
              <w:rPr>
                <w:sz w:val="18"/>
              </w:rPr>
              <w:t>2330,0</w:t>
            </w:r>
          </w:p>
        </w:tc>
      </w:tr>
      <w:tr w:rsidR="00A50D12" w14:paraId="6D570B92" w14:textId="77777777">
        <w:tblPrEx>
          <w:tblCellMar>
            <w:top w:w="0" w:type="dxa"/>
            <w:bottom w:w="0" w:type="dxa"/>
          </w:tblCellMar>
        </w:tblPrEx>
        <w:trPr>
          <w:cantSplit/>
          <w:trHeight w:val="560"/>
        </w:trPr>
        <w:tc>
          <w:tcPr>
            <w:tcW w:w="700" w:type="dxa"/>
            <w:tcMar>
              <w:top w:w="0" w:type="dxa"/>
              <w:bottom w:w="0" w:type="dxa"/>
            </w:tcMar>
            <w:vAlign w:val="center"/>
          </w:tcPr>
          <w:p w14:paraId="340C9892" w14:textId="77777777" w:rsidR="00A50D12" w:rsidRDefault="00A50D12">
            <w:pPr>
              <w:keepNext/>
              <w:keepLines/>
              <w:spacing w:after="0" w:line="240" w:lineRule="auto"/>
            </w:pPr>
          </w:p>
        </w:tc>
        <w:tc>
          <w:tcPr>
            <w:tcW w:w="3180" w:type="dxa"/>
            <w:tcMar>
              <w:top w:w="0" w:type="dxa"/>
              <w:bottom w:w="0" w:type="dxa"/>
            </w:tcMar>
            <w:vAlign w:val="center"/>
          </w:tcPr>
          <w:p w14:paraId="6245E40A" w14:textId="77777777" w:rsidR="00A50D12"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E4A4D05" w14:textId="77777777" w:rsidR="00A50D12" w:rsidRDefault="00000000">
            <w:pPr>
              <w:keepNext/>
              <w:keepLines/>
              <w:spacing w:after="0" w:line="240" w:lineRule="auto"/>
            </w:pPr>
            <w:r>
              <w:rPr>
                <w:b/>
                <w:sz w:val="18"/>
              </w:rPr>
              <w:t>Y002</w:t>
            </w:r>
          </w:p>
        </w:tc>
        <w:tc>
          <w:tcPr>
            <w:tcW w:w="1860" w:type="dxa"/>
            <w:tcMar>
              <w:top w:w="0" w:type="dxa"/>
              <w:bottom w:w="0" w:type="dxa"/>
            </w:tcMar>
            <w:vAlign w:val="center"/>
          </w:tcPr>
          <w:p w14:paraId="7379762E" w14:textId="77777777" w:rsidR="00A50D12" w:rsidRDefault="00000000">
            <w:pPr>
              <w:keepNext/>
              <w:keepLines/>
              <w:spacing w:after="0" w:line="240" w:lineRule="auto"/>
              <w:jc w:val="right"/>
            </w:pPr>
            <w:r>
              <w:rPr>
                <w:b/>
                <w:sz w:val="18"/>
              </w:rPr>
              <w:t>31.355,49</w:t>
            </w:r>
          </w:p>
        </w:tc>
        <w:tc>
          <w:tcPr>
            <w:tcW w:w="1860" w:type="dxa"/>
            <w:tcMar>
              <w:top w:w="0" w:type="dxa"/>
              <w:bottom w:w="0" w:type="dxa"/>
            </w:tcMar>
            <w:vAlign w:val="center"/>
          </w:tcPr>
          <w:p w14:paraId="15B7B9DA" w14:textId="77777777" w:rsidR="00A50D12" w:rsidRDefault="00000000">
            <w:pPr>
              <w:keepNext/>
              <w:keepLines/>
              <w:spacing w:after="0" w:line="240" w:lineRule="auto"/>
              <w:jc w:val="right"/>
            </w:pPr>
            <w:r>
              <w:rPr>
                <w:b/>
                <w:sz w:val="18"/>
              </w:rPr>
              <w:t>730.569,17</w:t>
            </w:r>
          </w:p>
        </w:tc>
        <w:tc>
          <w:tcPr>
            <w:tcW w:w="700" w:type="dxa"/>
            <w:tcMar>
              <w:top w:w="0" w:type="dxa"/>
              <w:bottom w:w="0" w:type="dxa"/>
            </w:tcMar>
            <w:vAlign w:val="center"/>
          </w:tcPr>
          <w:p w14:paraId="44618C7A" w14:textId="77777777" w:rsidR="00A50D12" w:rsidRDefault="00000000">
            <w:pPr>
              <w:keepNext/>
              <w:keepLines/>
              <w:spacing w:after="0" w:line="240" w:lineRule="auto"/>
              <w:jc w:val="right"/>
            </w:pPr>
            <w:r>
              <w:rPr>
                <w:b/>
                <w:sz w:val="18"/>
              </w:rPr>
              <w:t>2330,0</w:t>
            </w:r>
          </w:p>
        </w:tc>
      </w:tr>
      <w:tr w:rsidR="00A50D12" w14:paraId="145DD9EA" w14:textId="77777777">
        <w:tblPrEx>
          <w:tblCellMar>
            <w:top w:w="0" w:type="dxa"/>
            <w:bottom w:w="0" w:type="dxa"/>
          </w:tblCellMar>
        </w:tblPrEx>
        <w:trPr>
          <w:cantSplit/>
          <w:trHeight w:val="560"/>
        </w:trPr>
        <w:tc>
          <w:tcPr>
            <w:tcW w:w="700" w:type="dxa"/>
            <w:tcMar>
              <w:top w:w="0" w:type="dxa"/>
              <w:bottom w:w="0" w:type="dxa"/>
            </w:tcMar>
            <w:vAlign w:val="center"/>
          </w:tcPr>
          <w:p w14:paraId="3F63C56B" w14:textId="77777777" w:rsidR="00A50D12" w:rsidRDefault="00000000">
            <w:pPr>
              <w:keepNext/>
              <w:keepLines/>
              <w:spacing w:after="0" w:line="240" w:lineRule="auto"/>
            </w:pPr>
            <w:r>
              <w:rPr>
                <w:sz w:val="18"/>
              </w:rPr>
              <w:t>8</w:t>
            </w:r>
          </w:p>
        </w:tc>
        <w:tc>
          <w:tcPr>
            <w:tcW w:w="3180" w:type="dxa"/>
            <w:tcMar>
              <w:top w:w="0" w:type="dxa"/>
              <w:bottom w:w="0" w:type="dxa"/>
            </w:tcMar>
            <w:vAlign w:val="center"/>
          </w:tcPr>
          <w:p w14:paraId="71996A91" w14:textId="77777777" w:rsidR="00A50D12"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59A2E92" w14:textId="77777777" w:rsidR="00A50D12" w:rsidRDefault="00000000">
            <w:pPr>
              <w:keepNext/>
              <w:keepLines/>
              <w:spacing w:after="0" w:line="240" w:lineRule="auto"/>
            </w:pPr>
            <w:r>
              <w:rPr>
                <w:sz w:val="18"/>
              </w:rPr>
              <w:t>8</w:t>
            </w:r>
          </w:p>
        </w:tc>
        <w:tc>
          <w:tcPr>
            <w:tcW w:w="1860" w:type="dxa"/>
            <w:tcMar>
              <w:top w:w="0" w:type="dxa"/>
              <w:bottom w:w="0" w:type="dxa"/>
            </w:tcMar>
            <w:vAlign w:val="center"/>
          </w:tcPr>
          <w:p w14:paraId="26F94E1D" w14:textId="77777777" w:rsidR="00A50D12" w:rsidRDefault="00000000">
            <w:pPr>
              <w:keepNext/>
              <w:keepLines/>
              <w:spacing w:after="0" w:line="240" w:lineRule="auto"/>
              <w:jc w:val="right"/>
            </w:pPr>
            <w:r>
              <w:rPr>
                <w:sz w:val="18"/>
              </w:rPr>
              <w:t>0,00</w:t>
            </w:r>
          </w:p>
        </w:tc>
        <w:tc>
          <w:tcPr>
            <w:tcW w:w="1860" w:type="dxa"/>
            <w:tcMar>
              <w:top w:w="0" w:type="dxa"/>
              <w:bottom w:w="0" w:type="dxa"/>
            </w:tcMar>
            <w:vAlign w:val="center"/>
          </w:tcPr>
          <w:p w14:paraId="4536756B" w14:textId="77777777" w:rsidR="00A50D12" w:rsidRDefault="00000000">
            <w:pPr>
              <w:keepNext/>
              <w:keepLines/>
              <w:spacing w:after="0" w:line="240" w:lineRule="auto"/>
              <w:jc w:val="right"/>
            </w:pPr>
            <w:r>
              <w:rPr>
                <w:sz w:val="18"/>
              </w:rPr>
              <w:t>0,00</w:t>
            </w:r>
          </w:p>
        </w:tc>
        <w:tc>
          <w:tcPr>
            <w:tcW w:w="700" w:type="dxa"/>
            <w:tcMar>
              <w:top w:w="0" w:type="dxa"/>
              <w:bottom w:w="0" w:type="dxa"/>
            </w:tcMar>
            <w:vAlign w:val="center"/>
          </w:tcPr>
          <w:p w14:paraId="55435D44" w14:textId="77777777" w:rsidR="00A50D12" w:rsidRDefault="00000000">
            <w:pPr>
              <w:keepNext/>
              <w:keepLines/>
              <w:spacing w:after="0" w:line="240" w:lineRule="auto"/>
              <w:jc w:val="right"/>
            </w:pPr>
            <w:r>
              <w:rPr>
                <w:sz w:val="18"/>
              </w:rPr>
              <w:t>-</w:t>
            </w:r>
          </w:p>
        </w:tc>
      </w:tr>
      <w:tr w:rsidR="00A50D12" w14:paraId="7D9E11F6" w14:textId="77777777">
        <w:tblPrEx>
          <w:tblCellMar>
            <w:top w:w="0" w:type="dxa"/>
            <w:bottom w:w="0" w:type="dxa"/>
          </w:tblCellMar>
        </w:tblPrEx>
        <w:trPr>
          <w:cantSplit/>
          <w:trHeight w:val="560"/>
        </w:trPr>
        <w:tc>
          <w:tcPr>
            <w:tcW w:w="700" w:type="dxa"/>
            <w:tcMar>
              <w:top w:w="0" w:type="dxa"/>
              <w:bottom w:w="0" w:type="dxa"/>
            </w:tcMar>
            <w:vAlign w:val="center"/>
          </w:tcPr>
          <w:p w14:paraId="6F7DA22C" w14:textId="77777777" w:rsidR="00A50D12" w:rsidRDefault="00000000">
            <w:pPr>
              <w:keepNext/>
              <w:keepLines/>
              <w:spacing w:after="0" w:line="240" w:lineRule="auto"/>
            </w:pPr>
            <w:r>
              <w:rPr>
                <w:sz w:val="18"/>
              </w:rPr>
              <w:t>5</w:t>
            </w:r>
          </w:p>
        </w:tc>
        <w:tc>
          <w:tcPr>
            <w:tcW w:w="3180" w:type="dxa"/>
            <w:tcMar>
              <w:top w:w="0" w:type="dxa"/>
              <w:bottom w:w="0" w:type="dxa"/>
            </w:tcMar>
            <w:vAlign w:val="center"/>
          </w:tcPr>
          <w:p w14:paraId="41C36CB8" w14:textId="77777777" w:rsidR="00A50D12"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12E96B4" w14:textId="77777777" w:rsidR="00A50D12" w:rsidRDefault="00000000">
            <w:pPr>
              <w:keepNext/>
              <w:keepLines/>
              <w:spacing w:after="0" w:line="240" w:lineRule="auto"/>
            </w:pPr>
            <w:r>
              <w:rPr>
                <w:sz w:val="18"/>
              </w:rPr>
              <w:t>5</w:t>
            </w:r>
          </w:p>
        </w:tc>
        <w:tc>
          <w:tcPr>
            <w:tcW w:w="1860" w:type="dxa"/>
            <w:tcMar>
              <w:top w:w="0" w:type="dxa"/>
              <w:bottom w:w="0" w:type="dxa"/>
            </w:tcMar>
            <w:vAlign w:val="center"/>
          </w:tcPr>
          <w:p w14:paraId="73583248" w14:textId="77777777" w:rsidR="00A50D12" w:rsidRDefault="00000000">
            <w:pPr>
              <w:keepNext/>
              <w:keepLines/>
              <w:spacing w:after="0" w:line="240" w:lineRule="auto"/>
              <w:jc w:val="right"/>
            </w:pPr>
            <w:r>
              <w:rPr>
                <w:sz w:val="18"/>
              </w:rPr>
              <w:t>0,00</w:t>
            </w:r>
          </w:p>
        </w:tc>
        <w:tc>
          <w:tcPr>
            <w:tcW w:w="1860" w:type="dxa"/>
            <w:tcMar>
              <w:top w:w="0" w:type="dxa"/>
              <w:bottom w:w="0" w:type="dxa"/>
            </w:tcMar>
            <w:vAlign w:val="center"/>
          </w:tcPr>
          <w:p w14:paraId="198DEB85" w14:textId="77777777" w:rsidR="00A50D12" w:rsidRDefault="00000000">
            <w:pPr>
              <w:keepNext/>
              <w:keepLines/>
              <w:spacing w:after="0" w:line="240" w:lineRule="auto"/>
              <w:jc w:val="right"/>
            </w:pPr>
            <w:r>
              <w:rPr>
                <w:sz w:val="18"/>
              </w:rPr>
              <w:t>0,00</w:t>
            </w:r>
          </w:p>
        </w:tc>
        <w:tc>
          <w:tcPr>
            <w:tcW w:w="700" w:type="dxa"/>
            <w:tcMar>
              <w:top w:w="0" w:type="dxa"/>
              <w:bottom w:w="0" w:type="dxa"/>
            </w:tcMar>
            <w:vAlign w:val="center"/>
          </w:tcPr>
          <w:p w14:paraId="749119F7" w14:textId="77777777" w:rsidR="00A50D12" w:rsidRDefault="00000000">
            <w:pPr>
              <w:keepNext/>
              <w:keepLines/>
              <w:spacing w:after="0" w:line="240" w:lineRule="auto"/>
              <w:jc w:val="right"/>
            </w:pPr>
            <w:r>
              <w:rPr>
                <w:sz w:val="18"/>
              </w:rPr>
              <w:t>-</w:t>
            </w:r>
          </w:p>
        </w:tc>
      </w:tr>
      <w:tr w:rsidR="00A50D12" w14:paraId="29F7EB61" w14:textId="77777777">
        <w:tblPrEx>
          <w:tblCellMar>
            <w:top w:w="0" w:type="dxa"/>
            <w:bottom w:w="0" w:type="dxa"/>
          </w:tblCellMar>
        </w:tblPrEx>
        <w:trPr>
          <w:cantSplit/>
          <w:trHeight w:val="560"/>
        </w:trPr>
        <w:tc>
          <w:tcPr>
            <w:tcW w:w="700" w:type="dxa"/>
            <w:tcMar>
              <w:top w:w="0" w:type="dxa"/>
              <w:bottom w:w="0" w:type="dxa"/>
            </w:tcMar>
            <w:vAlign w:val="center"/>
          </w:tcPr>
          <w:p w14:paraId="342406AD" w14:textId="77777777" w:rsidR="00A50D12" w:rsidRDefault="00A50D12">
            <w:pPr>
              <w:keepNext/>
              <w:keepLines/>
              <w:spacing w:after="0" w:line="240" w:lineRule="auto"/>
            </w:pPr>
          </w:p>
        </w:tc>
        <w:tc>
          <w:tcPr>
            <w:tcW w:w="3180" w:type="dxa"/>
            <w:tcMar>
              <w:top w:w="0" w:type="dxa"/>
              <w:bottom w:w="0" w:type="dxa"/>
            </w:tcMar>
            <w:vAlign w:val="center"/>
          </w:tcPr>
          <w:p w14:paraId="6520DB82" w14:textId="77777777" w:rsidR="00A50D12"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38920110" w14:textId="77777777" w:rsidR="00A50D12" w:rsidRDefault="00000000">
            <w:pPr>
              <w:keepNext/>
              <w:keepLines/>
              <w:spacing w:after="0" w:line="240" w:lineRule="auto"/>
            </w:pPr>
            <w:r>
              <w:rPr>
                <w:b/>
                <w:sz w:val="18"/>
              </w:rPr>
              <w:t>X003, Y003</w:t>
            </w:r>
          </w:p>
        </w:tc>
        <w:tc>
          <w:tcPr>
            <w:tcW w:w="1860" w:type="dxa"/>
            <w:tcMar>
              <w:top w:w="0" w:type="dxa"/>
              <w:bottom w:w="0" w:type="dxa"/>
            </w:tcMar>
            <w:vAlign w:val="center"/>
          </w:tcPr>
          <w:p w14:paraId="543F9FCC" w14:textId="77777777" w:rsidR="00A50D12" w:rsidRDefault="00000000">
            <w:pPr>
              <w:keepNext/>
              <w:keepLines/>
              <w:spacing w:after="0" w:line="240" w:lineRule="auto"/>
              <w:jc w:val="right"/>
            </w:pPr>
            <w:r>
              <w:rPr>
                <w:b/>
                <w:sz w:val="18"/>
              </w:rPr>
              <w:t>0,00</w:t>
            </w:r>
          </w:p>
        </w:tc>
        <w:tc>
          <w:tcPr>
            <w:tcW w:w="1860" w:type="dxa"/>
            <w:tcMar>
              <w:top w:w="0" w:type="dxa"/>
              <w:bottom w:w="0" w:type="dxa"/>
            </w:tcMar>
            <w:vAlign w:val="center"/>
          </w:tcPr>
          <w:p w14:paraId="27E23EE9" w14:textId="77777777" w:rsidR="00A50D12" w:rsidRDefault="00000000">
            <w:pPr>
              <w:keepNext/>
              <w:keepLines/>
              <w:spacing w:after="0" w:line="240" w:lineRule="auto"/>
              <w:jc w:val="right"/>
            </w:pPr>
            <w:r>
              <w:rPr>
                <w:b/>
                <w:sz w:val="18"/>
              </w:rPr>
              <w:t>0,00</w:t>
            </w:r>
          </w:p>
        </w:tc>
        <w:tc>
          <w:tcPr>
            <w:tcW w:w="700" w:type="dxa"/>
            <w:tcMar>
              <w:top w:w="0" w:type="dxa"/>
              <w:bottom w:w="0" w:type="dxa"/>
            </w:tcMar>
            <w:vAlign w:val="center"/>
          </w:tcPr>
          <w:p w14:paraId="2D943667" w14:textId="77777777" w:rsidR="00A50D12" w:rsidRDefault="00000000">
            <w:pPr>
              <w:keepNext/>
              <w:keepLines/>
              <w:spacing w:after="0" w:line="240" w:lineRule="auto"/>
              <w:jc w:val="right"/>
            </w:pPr>
            <w:r>
              <w:rPr>
                <w:b/>
                <w:sz w:val="18"/>
              </w:rPr>
              <w:t>-</w:t>
            </w:r>
          </w:p>
        </w:tc>
      </w:tr>
      <w:tr w:rsidR="00A50D12" w14:paraId="1F01AA98" w14:textId="77777777">
        <w:tblPrEx>
          <w:tblCellMar>
            <w:top w:w="0" w:type="dxa"/>
            <w:bottom w:w="0" w:type="dxa"/>
          </w:tblCellMar>
        </w:tblPrEx>
        <w:trPr>
          <w:cantSplit/>
          <w:trHeight w:val="560"/>
        </w:trPr>
        <w:tc>
          <w:tcPr>
            <w:tcW w:w="700" w:type="dxa"/>
            <w:tcMar>
              <w:top w:w="0" w:type="dxa"/>
              <w:bottom w:w="0" w:type="dxa"/>
            </w:tcMar>
            <w:vAlign w:val="center"/>
          </w:tcPr>
          <w:p w14:paraId="270DB98A" w14:textId="77777777" w:rsidR="00A50D12" w:rsidRDefault="00A50D12">
            <w:pPr>
              <w:keepNext/>
              <w:keepLines/>
              <w:spacing w:after="0" w:line="240" w:lineRule="auto"/>
            </w:pPr>
          </w:p>
        </w:tc>
        <w:tc>
          <w:tcPr>
            <w:tcW w:w="3180" w:type="dxa"/>
            <w:tcMar>
              <w:top w:w="0" w:type="dxa"/>
              <w:bottom w:w="0" w:type="dxa"/>
            </w:tcMar>
            <w:vAlign w:val="center"/>
          </w:tcPr>
          <w:p w14:paraId="549399AE" w14:textId="77777777" w:rsidR="00A50D12"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3D7B8B0B" w14:textId="77777777" w:rsidR="00A50D12" w:rsidRDefault="00000000">
            <w:pPr>
              <w:keepNext/>
              <w:keepLines/>
              <w:spacing w:after="0" w:line="240" w:lineRule="auto"/>
            </w:pPr>
            <w:r>
              <w:rPr>
                <w:b/>
                <w:sz w:val="18"/>
              </w:rPr>
              <w:t>Y005</w:t>
            </w:r>
          </w:p>
        </w:tc>
        <w:tc>
          <w:tcPr>
            <w:tcW w:w="1860" w:type="dxa"/>
            <w:tcMar>
              <w:top w:w="0" w:type="dxa"/>
              <w:bottom w:w="0" w:type="dxa"/>
            </w:tcMar>
            <w:vAlign w:val="center"/>
          </w:tcPr>
          <w:p w14:paraId="4791EEE0" w14:textId="77777777" w:rsidR="00A50D12" w:rsidRDefault="00000000">
            <w:pPr>
              <w:keepNext/>
              <w:keepLines/>
              <w:spacing w:after="0" w:line="240" w:lineRule="auto"/>
              <w:jc w:val="right"/>
            </w:pPr>
            <w:r>
              <w:rPr>
                <w:b/>
                <w:sz w:val="18"/>
              </w:rPr>
              <w:t>0,00</w:t>
            </w:r>
          </w:p>
        </w:tc>
        <w:tc>
          <w:tcPr>
            <w:tcW w:w="1860" w:type="dxa"/>
            <w:tcMar>
              <w:top w:w="0" w:type="dxa"/>
              <w:bottom w:w="0" w:type="dxa"/>
            </w:tcMar>
            <w:vAlign w:val="center"/>
          </w:tcPr>
          <w:p w14:paraId="4485E4F6" w14:textId="77777777" w:rsidR="00A50D12" w:rsidRDefault="00000000">
            <w:pPr>
              <w:keepNext/>
              <w:keepLines/>
              <w:spacing w:after="0" w:line="240" w:lineRule="auto"/>
              <w:jc w:val="right"/>
            </w:pPr>
            <w:r>
              <w:rPr>
                <w:b/>
                <w:sz w:val="18"/>
              </w:rPr>
              <w:t>237.504,13</w:t>
            </w:r>
          </w:p>
        </w:tc>
        <w:tc>
          <w:tcPr>
            <w:tcW w:w="700" w:type="dxa"/>
            <w:tcMar>
              <w:top w:w="0" w:type="dxa"/>
              <w:bottom w:w="0" w:type="dxa"/>
            </w:tcMar>
            <w:vAlign w:val="center"/>
          </w:tcPr>
          <w:p w14:paraId="5FAD862F" w14:textId="77777777" w:rsidR="00A50D12" w:rsidRDefault="00000000">
            <w:pPr>
              <w:keepNext/>
              <w:keepLines/>
              <w:spacing w:after="0" w:line="240" w:lineRule="auto"/>
              <w:jc w:val="right"/>
            </w:pPr>
            <w:r>
              <w:rPr>
                <w:b/>
                <w:sz w:val="18"/>
              </w:rPr>
              <w:t>-</w:t>
            </w:r>
          </w:p>
        </w:tc>
      </w:tr>
    </w:tbl>
    <w:p w14:paraId="1DFA43D1" w14:textId="77777777" w:rsidR="00A50D12" w:rsidRDefault="00A50D12">
      <w:pPr>
        <w:spacing w:after="0"/>
      </w:pPr>
    </w:p>
    <w:p w14:paraId="25085E0D" w14:textId="77777777" w:rsidR="00A50D12" w:rsidRDefault="00000000">
      <w:r>
        <w:t xml:space="preserve">Osnovna škola Tin Ujević, Krivodol posluje u skladu sa Zakonom o odgoju i obrazovanju u osnovnoj školi te Statutom škole. Vodi proračunsko računovodstvo temeljem Pravilnika o proračunskom računovodstvu i Računskom planu, a financijske izvještaje sastavlja i predaje u skladu s odredbama Pravilnika o financijskom izvještavanju u proračunskom računoovdstvu. Škola je od nastavne godine 2023/2024 ušla u eksperimentalni program"Cjelodnevna škola- Nacionalna razvojna strategija RH do 2030. godine, Nacionalni plan razvoja sustava </w:t>
      </w:r>
      <w:r>
        <w:lastRenderedPageBreak/>
        <w:t>obrazovanja za razdoblje do 2027. i Nacionalni plan oporavka i otpornosti 2021.-2026. (NN 78/21), a u skladu s čl. 29. stavka 7. Zakona o odgoju i obrazovanju u osnovnoj i srednjoj školi i Zakonom o potvrđivanju ugovora o zajmu između RH i Međunarodne banke za obnovu i razvoj ususret održivom , pravednom i učinkovitom obrazovanju (NN 1/22).</w:t>
      </w:r>
    </w:p>
    <w:p w14:paraId="4D0CEA3F" w14:textId="77777777" w:rsidR="00A50D12" w:rsidRDefault="00000000">
      <w:r>
        <w:t> </w:t>
      </w:r>
    </w:p>
    <w:p w14:paraId="03833E58" w14:textId="77777777" w:rsidR="00A50D12" w:rsidRDefault="00000000">
      <w:r>
        <w:t> </w:t>
      </w:r>
    </w:p>
    <w:p w14:paraId="5CFB6612" w14:textId="77777777" w:rsidR="00A50D12" w:rsidRDefault="00000000">
      <w:r>
        <w:br/>
      </w:r>
    </w:p>
    <w:p w14:paraId="3387B1E8" w14:textId="77777777" w:rsidR="00A50D12"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3E1197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C0E44C"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0341B4"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FC673E"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11689F" w14:textId="77777777" w:rsidR="00A50D1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E79751" w14:textId="77777777" w:rsidR="00A50D1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A4EC7E" w14:textId="77777777" w:rsidR="00A50D12" w:rsidRDefault="00000000">
            <w:pPr>
              <w:keepNext/>
              <w:keepLines/>
              <w:spacing w:after="0" w:line="240" w:lineRule="auto"/>
              <w:jc w:val="center"/>
            </w:pPr>
            <w:r>
              <w:rPr>
                <w:b/>
                <w:sz w:val="18"/>
              </w:rPr>
              <w:t>Indeks (%)</w:t>
            </w:r>
          </w:p>
        </w:tc>
      </w:tr>
      <w:tr w:rsidR="00A50D12" w14:paraId="30DE3187" w14:textId="77777777">
        <w:tblPrEx>
          <w:tblCellMar>
            <w:top w:w="0" w:type="dxa"/>
            <w:bottom w:w="0" w:type="dxa"/>
          </w:tblCellMar>
        </w:tblPrEx>
        <w:trPr>
          <w:cantSplit/>
          <w:trHeight w:val="560"/>
        </w:trPr>
        <w:tc>
          <w:tcPr>
            <w:tcW w:w="700" w:type="dxa"/>
            <w:tcMar>
              <w:top w:w="0" w:type="dxa"/>
              <w:bottom w:w="0" w:type="dxa"/>
            </w:tcMar>
            <w:vAlign w:val="center"/>
          </w:tcPr>
          <w:p w14:paraId="43EF1C9D" w14:textId="77777777" w:rsidR="00A50D12" w:rsidRDefault="00000000">
            <w:pPr>
              <w:keepNext/>
              <w:keepLines/>
              <w:spacing w:after="0" w:line="240" w:lineRule="auto"/>
            </w:pPr>
            <w:r>
              <w:rPr>
                <w:sz w:val="18"/>
              </w:rPr>
              <w:t>6</w:t>
            </w:r>
          </w:p>
        </w:tc>
        <w:tc>
          <w:tcPr>
            <w:tcW w:w="3180" w:type="dxa"/>
            <w:tcMar>
              <w:top w:w="0" w:type="dxa"/>
              <w:bottom w:w="0" w:type="dxa"/>
            </w:tcMar>
            <w:vAlign w:val="center"/>
          </w:tcPr>
          <w:p w14:paraId="47299591" w14:textId="77777777" w:rsidR="00A50D1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215BB00C" w14:textId="77777777" w:rsidR="00A50D12" w:rsidRDefault="00000000">
            <w:pPr>
              <w:keepNext/>
              <w:keepLines/>
              <w:spacing w:after="0" w:line="240" w:lineRule="auto"/>
            </w:pPr>
            <w:r>
              <w:rPr>
                <w:sz w:val="18"/>
              </w:rPr>
              <w:t>6</w:t>
            </w:r>
          </w:p>
        </w:tc>
        <w:tc>
          <w:tcPr>
            <w:tcW w:w="1860" w:type="dxa"/>
            <w:tcMar>
              <w:top w:w="0" w:type="dxa"/>
              <w:bottom w:w="0" w:type="dxa"/>
            </w:tcMar>
            <w:vAlign w:val="center"/>
          </w:tcPr>
          <w:p w14:paraId="557D8411" w14:textId="77777777" w:rsidR="00A50D12" w:rsidRDefault="00000000">
            <w:pPr>
              <w:keepNext/>
              <w:keepLines/>
              <w:spacing w:after="0" w:line="240" w:lineRule="auto"/>
              <w:jc w:val="right"/>
            </w:pPr>
            <w:r>
              <w:rPr>
                <w:sz w:val="18"/>
              </w:rPr>
              <w:t>2.145.889,80</w:t>
            </w:r>
          </w:p>
        </w:tc>
        <w:tc>
          <w:tcPr>
            <w:tcW w:w="1860" w:type="dxa"/>
            <w:tcMar>
              <w:top w:w="0" w:type="dxa"/>
              <w:bottom w:w="0" w:type="dxa"/>
            </w:tcMar>
            <w:vAlign w:val="center"/>
          </w:tcPr>
          <w:p w14:paraId="4B40537F" w14:textId="77777777" w:rsidR="00A50D12" w:rsidRDefault="00000000">
            <w:pPr>
              <w:keepNext/>
              <w:keepLines/>
              <w:spacing w:after="0" w:line="240" w:lineRule="auto"/>
              <w:jc w:val="right"/>
            </w:pPr>
            <w:r>
              <w:rPr>
                <w:sz w:val="18"/>
              </w:rPr>
              <w:t>3.057.807,22</w:t>
            </w:r>
          </w:p>
        </w:tc>
        <w:tc>
          <w:tcPr>
            <w:tcW w:w="700" w:type="dxa"/>
            <w:tcMar>
              <w:top w:w="0" w:type="dxa"/>
              <w:bottom w:w="0" w:type="dxa"/>
            </w:tcMar>
            <w:vAlign w:val="center"/>
          </w:tcPr>
          <w:p w14:paraId="7DD0085F" w14:textId="77777777" w:rsidR="00A50D12" w:rsidRDefault="00000000">
            <w:pPr>
              <w:keepNext/>
              <w:keepLines/>
              <w:spacing w:after="0" w:line="240" w:lineRule="auto"/>
              <w:jc w:val="right"/>
            </w:pPr>
            <w:r>
              <w:rPr>
                <w:sz w:val="18"/>
              </w:rPr>
              <w:t>142,5</w:t>
            </w:r>
          </w:p>
        </w:tc>
      </w:tr>
    </w:tbl>
    <w:p w14:paraId="571EDC30" w14:textId="77777777" w:rsidR="00A50D12" w:rsidRDefault="00A50D12">
      <w:pPr>
        <w:spacing w:after="0"/>
      </w:pPr>
    </w:p>
    <w:p w14:paraId="55F1F69A" w14:textId="77777777" w:rsidR="00A50D12" w:rsidRDefault="00000000">
      <w:r>
        <w:t>Prihodi poslovanja za razdoblje od 1.1.do 31.12.2025. godine iznose 3.057.807,22 €, što je za 42,5% više nego u istom razdoblju prošle godine.</w:t>
      </w:r>
    </w:p>
    <w:p w14:paraId="3E8E51A1" w14:textId="77777777" w:rsidR="00A50D12" w:rsidRDefault="00A50D12"/>
    <w:p w14:paraId="74DE659A" w14:textId="77777777" w:rsidR="00A50D12"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3A0F4D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ECB62A"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152E6B"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A28B73"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CC86AE" w14:textId="77777777" w:rsidR="00A50D1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579B1F" w14:textId="77777777" w:rsidR="00A50D1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E6F343" w14:textId="77777777" w:rsidR="00A50D12" w:rsidRDefault="00000000">
            <w:pPr>
              <w:keepNext/>
              <w:keepLines/>
              <w:spacing w:after="0" w:line="240" w:lineRule="auto"/>
              <w:jc w:val="center"/>
            </w:pPr>
            <w:r>
              <w:rPr>
                <w:b/>
                <w:sz w:val="18"/>
              </w:rPr>
              <w:t>Indeks (%)</w:t>
            </w:r>
          </w:p>
        </w:tc>
      </w:tr>
      <w:tr w:rsidR="00A50D12" w14:paraId="521C62FE" w14:textId="77777777">
        <w:tblPrEx>
          <w:tblCellMar>
            <w:top w:w="0" w:type="dxa"/>
            <w:bottom w:w="0" w:type="dxa"/>
          </w:tblCellMar>
        </w:tblPrEx>
        <w:trPr>
          <w:cantSplit/>
          <w:trHeight w:val="560"/>
        </w:trPr>
        <w:tc>
          <w:tcPr>
            <w:tcW w:w="700" w:type="dxa"/>
            <w:tcMar>
              <w:top w:w="0" w:type="dxa"/>
              <w:bottom w:w="0" w:type="dxa"/>
            </w:tcMar>
            <w:vAlign w:val="center"/>
          </w:tcPr>
          <w:p w14:paraId="780B9AED" w14:textId="77777777" w:rsidR="00A50D12" w:rsidRDefault="00000000">
            <w:pPr>
              <w:keepNext/>
              <w:keepLines/>
              <w:spacing w:after="0" w:line="240" w:lineRule="auto"/>
            </w:pPr>
            <w:r>
              <w:rPr>
                <w:sz w:val="18"/>
              </w:rPr>
              <w:t>6631</w:t>
            </w:r>
          </w:p>
        </w:tc>
        <w:tc>
          <w:tcPr>
            <w:tcW w:w="3180" w:type="dxa"/>
            <w:tcMar>
              <w:top w:w="0" w:type="dxa"/>
              <w:bottom w:w="0" w:type="dxa"/>
            </w:tcMar>
            <w:vAlign w:val="center"/>
          </w:tcPr>
          <w:p w14:paraId="70436091" w14:textId="77777777" w:rsidR="00A50D12" w:rsidRDefault="00000000">
            <w:pPr>
              <w:keepNext/>
              <w:keepLines/>
              <w:spacing w:after="0" w:line="240" w:lineRule="auto"/>
            </w:pPr>
            <w:r>
              <w:rPr>
                <w:sz w:val="18"/>
              </w:rPr>
              <w:t>Tekuće donacije</w:t>
            </w:r>
          </w:p>
        </w:tc>
        <w:tc>
          <w:tcPr>
            <w:tcW w:w="700" w:type="dxa"/>
            <w:tcMar>
              <w:top w:w="0" w:type="dxa"/>
              <w:bottom w:w="0" w:type="dxa"/>
            </w:tcMar>
            <w:vAlign w:val="center"/>
          </w:tcPr>
          <w:p w14:paraId="63DC9F39" w14:textId="77777777" w:rsidR="00A50D12" w:rsidRDefault="00000000">
            <w:pPr>
              <w:keepNext/>
              <w:keepLines/>
              <w:spacing w:after="0" w:line="240" w:lineRule="auto"/>
            </w:pPr>
            <w:r>
              <w:rPr>
                <w:sz w:val="18"/>
              </w:rPr>
              <w:t>6631</w:t>
            </w:r>
          </w:p>
        </w:tc>
        <w:tc>
          <w:tcPr>
            <w:tcW w:w="1860" w:type="dxa"/>
            <w:tcMar>
              <w:top w:w="0" w:type="dxa"/>
              <w:bottom w:w="0" w:type="dxa"/>
            </w:tcMar>
            <w:vAlign w:val="center"/>
          </w:tcPr>
          <w:p w14:paraId="21D533FC" w14:textId="77777777" w:rsidR="00A50D12" w:rsidRDefault="00000000">
            <w:pPr>
              <w:keepNext/>
              <w:keepLines/>
              <w:spacing w:after="0" w:line="240" w:lineRule="auto"/>
              <w:jc w:val="right"/>
            </w:pPr>
            <w:r>
              <w:rPr>
                <w:sz w:val="18"/>
              </w:rPr>
              <w:t>2.755,78</w:t>
            </w:r>
          </w:p>
        </w:tc>
        <w:tc>
          <w:tcPr>
            <w:tcW w:w="1860" w:type="dxa"/>
            <w:tcMar>
              <w:top w:w="0" w:type="dxa"/>
              <w:bottom w:w="0" w:type="dxa"/>
            </w:tcMar>
            <w:vAlign w:val="center"/>
          </w:tcPr>
          <w:p w14:paraId="0B382211" w14:textId="77777777" w:rsidR="00A50D12" w:rsidRDefault="00000000">
            <w:pPr>
              <w:keepNext/>
              <w:keepLines/>
              <w:spacing w:after="0" w:line="240" w:lineRule="auto"/>
              <w:jc w:val="right"/>
            </w:pPr>
            <w:r>
              <w:rPr>
                <w:sz w:val="18"/>
              </w:rPr>
              <w:t>1.616,44</w:t>
            </w:r>
          </w:p>
        </w:tc>
        <w:tc>
          <w:tcPr>
            <w:tcW w:w="700" w:type="dxa"/>
            <w:tcMar>
              <w:top w:w="0" w:type="dxa"/>
              <w:bottom w:w="0" w:type="dxa"/>
            </w:tcMar>
            <w:vAlign w:val="center"/>
          </w:tcPr>
          <w:p w14:paraId="037F9FA6" w14:textId="77777777" w:rsidR="00A50D12" w:rsidRDefault="00000000">
            <w:pPr>
              <w:keepNext/>
              <w:keepLines/>
              <w:spacing w:after="0" w:line="240" w:lineRule="auto"/>
              <w:jc w:val="right"/>
            </w:pPr>
            <w:r>
              <w:rPr>
                <w:sz w:val="18"/>
              </w:rPr>
              <w:t>58,7</w:t>
            </w:r>
          </w:p>
        </w:tc>
      </w:tr>
    </w:tbl>
    <w:p w14:paraId="260E9340" w14:textId="77777777" w:rsidR="00A50D12" w:rsidRDefault="00A50D12">
      <w:pPr>
        <w:spacing w:after="0"/>
      </w:pPr>
    </w:p>
    <w:p w14:paraId="1833C416" w14:textId="77777777" w:rsidR="00A50D12" w:rsidRDefault="00000000">
      <w:r>
        <w:t>Tekuće donacije u izvještajnom razdoblju tekuće godine iznose 1.616,44 € što je za 41,3 % manje nego u izvještajnom razdoblju prethodne godine. U 2025.  kao i u 2024. godini smo imali prihod od ŽŠSS za provođenje sportskih praznika mladih i donaciju od HŠSS za troškove sudjelovanja na sportskim natjecanjima.</w:t>
      </w:r>
    </w:p>
    <w:p w14:paraId="14F63E8F" w14:textId="77777777" w:rsidR="00A50D12" w:rsidRDefault="00A50D12"/>
    <w:p w14:paraId="45CAC120" w14:textId="77777777" w:rsidR="00A50D12"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5ABB3C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5FC5EA"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385AF5"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061E48"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C46940" w14:textId="77777777" w:rsidR="00A50D1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06A5D3" w14:textId="77777777" w:rsidR="00A50D1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1466DE" w14:textId="77777777" w:rsidR="00A50D12" w:rsidRDefault="00000000">
            <w:pPr>
              <w:keepNext/>
              <w:keepLines/>
              <w:spacing w:after="0" w:line="240" w:lineRule="auto"/>
              <w:jc w:val="center"/>
            </w:pPr>
            <w:r>
              <w:rPr>
                <w:b/>
                <w:sz w:val="18"/>
              </w:rPr>
              <w:t>Indeks (%)</w:t>
            </w:r>
          </w:p>
        </w:tc>
      </w:tr>
      <w:tr w:rsidR="00A50D12" w14:paraId="52FE01BE" w14:textId="77777777">
        <w:tblPrEx>
          <w:tblCellMar>
            <w:top w:w="0" w:type="dxa"/>
            <w:bottom w:w="0" w:type="dxa"/>
          </w:tblCellMar>
        </w:tblPrEx>
        <w:trPr>
          <w:cantSplit/>
          <w:trHeight w:val="560"/>
        </w:trPr>
        <w:tc>
          <w:tcPr>
            <w:tcW w:w="700" w:type="dxa"/>
            <w:tcMar>
              <w:top w:w="0" w:type="dxa"/>
              <w:bottom w:w="0" w:type="dxa"/>
            </w:tcMar>
            <w:vAlign w:val="center"/>
          </w:tcPr>
          <w:p w14:paraId="5C1EECA1" w14:textId="77777777" w:rsidR="00A50D12" w:rsidRDefault="00000000">
            <w:pPr>
              <w:keepNext/>
              <w:keepLines/>
              <w:spacing w:after="0" w:line="240" w:lineRule="auto"/>
            </w:pPr>
            <w:r>
              <w:rPr>
                <w:sz w:val="18"/>
              </w:rPr>
              <w:t>67</w:t>
            </w:r>
          </w:p>
        </w:tc>
        <w:tc>
          <w:tcPr>
            <w:tcW w:w="3180" w:type="dxa"/>
            <w:tcMar>
              <w:top w:w="0" w:type="dxa"/>
              <w:bottom w:w="0" w:type="dxa"/>
            </w:tcMar>
            <w:vAlign w:val="center"/>
          </w:tcPr>
          <w:p w14:paraId="2968C3F7" w14:textId="77777777" w:rsidR="00A50D12"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3332AEA7" w14:textId="77777777" w:rsidR="00A50D12" w:rsidRDefault="00000000">
            <w:pPr>
              <w:keepNext/>
              <w:keepLines/>
              <w:spacing w:after="0" w:line="240" w:lineRule="auto"/>
            </w:pPr>
            <w:r>
              <w:rPr>
                <w:sz w:val="18"/>
              </w:rPr>
              <w:t>67</w:t>
            </w:r>
          </w:p>
        </w:tc>
        <w:tc>
          <w:tcPr>
            <w:tcW w:w="1860" w:type="dxa"/>
            <w:tcMar>
              <w:top w:w="0" w:type="dxa"/>
              <w:bottom w:w="0" w:type="dxa"/>
            </w:tcMar>
            <w:vAlign w:val="center"/>
          </w:tcPr>
          <w:p w14:paraId="3A6300EE" w14:textId="77777777" w:rsidR="00A50D12" w:rsidRDefault="00000000">
            <w:pPr>
              <w:keepNext/>
              <w:keepLines/>
              <w:spacing w:after="0" w:line="240" w:lineRule="auto"/>
              <w:jc w:val="right"/>
            </w:pPr>
            <w:r>
              <w:rPr>
                <w:sz w:val="18"/>
              </w:rPr>
              <w:t>350.922,37</w:t>
            </w:r>
          </w:p>
        </w:tc>
        <w:tc>
          <w:tcPr>
            <w:tcW w:w="1860" w:type="dxa"/>
            <w:tcMar>
              <w:top w:w="0" w:type="dxa"/>
              <w:bottom w:w="0" w:type="dxa"/>
            </w:tcMar>
            <w:vAlign w:val="center"/>
          </w:tcPr>
          <w:p w14:paraId="03277026" w14:textId="77777777" w:rsidR="00A50D12" w:rsidRDefault="00000000">
            <w:pPr>
              <w:keepNext/>
              <w:keepLines/>
              <w:spacing w:after="0" w:line="240" w:lineRule="auto"/>
              <w:jc w:val="right"/>
            </w:pPr>
            <w:r>
              <w:rPr>
                <w:sz w:val="18"/>
              </w:rPr>
              <w:t>689.950,85</w:t>
            </w:r>
          </w:p>
        </w:tc>
        <w:tc>
          <w:tcPr>
            <w:tcW w:w="700" w:type="dxa"/>
            <w:tcMar>
              <w:top w:w="0" w:type="dxa"/>
              <w:bottom w:w="0" w:type="dxa"/>
            </w:tcMar>
            <w:vAlign w:val="center"/>
          </w:tcPr>
          <w:p w14:paraId="1B061270" w14:textId="77777777" w:rsidR="00A50D12" w:rsidRDefault="00000000">
            <w:pPr>
              <w:keepNext/>
              <w:keepLines/>
              <w:spacing w:after="0" w:line="240" w:lineRule="auto"/>
              <w:jc w:val="right"/>
            </w:pPr>
            <w:r>
              <w:rPr>
                <w:sz w:val="18"/>
              </w:rPr>
              <w:t>196,6</w:t>
            </w:r>
          </w:p>
        </w:tc>
      </w:tr>
    </w:tbl>
    <w:p w14:paraId="7595C98F" w14:textId="77777777" w:rsidR="00A50D12" w:rsidRDefault="00A50D12">
      <w:pPr>
        <w:spacing w:after="0"/>
      </w:pPr>
    </w:p>
    <w:p w14:paraId="0E62769A" w14:textId="77777777" w:rsidR="00A50D12" w:rsidRDefault="00000000">
      <w:r>
        <w:t xml:space="preserve">Prihodi iz nadležnog proračuna i od HZZO-a na temelju ugovornih obveza koji su ostvareni u izvještajnom razdoblju tekuće godine iznose 689.950,85 € što je za 96,60% više u odnosu na izvještajno razdoblje prethodne godine. Prihodi su u tekućoj godini veći najviše zbog sredstava koja su nam dodijeljena za provođenje cjelodnevne nastave za nabavu službenog </w:t>
      </w:r>
      <w:r>
        <w:lastRenderedPageBreak/>
        <w:t>vozila, građevinske radove, najam profesionalne opreme, financiranje prehrane učenika te ostalih troškova koji su nužni za provođenje Eksperimentalnog programa cjelodnevne nastave.</w:t>
      </w:r>
    </w:p>
    <w:p w14:paraId="726CAAF7" w14:textId="77777777" w:rsidR="00A50D12" w:rsidRDefault="00A50D12"/>
    <w:p w14:paraId="4DE7A856" w14:textId="77777777" w:rsidR="00A50D12"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31585A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31C694"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9C05B7"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94112D"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E63C110" w14:textId="77777777" w:rsidR="00A50D1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F27B39" w14:textId="77777777" w:rsidR="00A50D1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6E0F92" w14:textId="77777777" w:rsidR="00A50D12" w:rsidRDefault="00000000">
            <w:pPr>
              <w:keepNext/>
              <w:keepLines/>
              <w:spacing w:after="0" w:line="240" w:lineRule="auto"/>
              <w:jc w:val="center"/>
            </w:pPr>
            <w:r>
              <w:rPr>
                <w:b/>
                <w:sz w:val="18"/>
              </w:rPr>
              <w:t>Indeks (%)</w:t>
            </w:r>
          </w:p>
        </w:tc>
      </w:tr>
      <w:tr w:rsidR="00A50D12" w14:paraId="3B485C57" w14:textId="77777777">
        <w:tblPrEx>
          <w:tblCellMar>
            <w:top w:w="0" w:type="dxa"/>
            <w:bottom w:w="0" w:type="dxa"/>
          </w:tblCellMar>
        </w:tblPrEx>
        <w:trPr>
          <w:cantSplit/>
          <w:trHeight w:val="560"/>
        </w:trPr>
        <w:tc>
          <w:tcPr>
            <w:tcW w:w="700" w:type="dxa"/>
            <w:tcMar>
              <w:top w:w="0" w:type="dxa"/>
              <w:bottom w:w="0" w:type="dxa"/>
            </w:tcMar>
            <w:vAlign w:val="center"/>
          </w:tcPr>
          <w:p w14:paraId="259055AB" w14:textId="77777777" w:rsidR="00A50D12" w:rsidRDefault="00000000">
            <w:pPr>
              <w:keepNext/>
              <w:keepLines/>
              <w:spacing w:after="0" w:line="240" w:lineRule="auto"/>
            </w:pPr>
            <w:r>
              <w:rPr>
                <w:sz w:val="18"/>
              </w:rPr>
              <w:t>3</w:t>
            </w:r>
          </w:p>
        </w:tc>
        <w:tc>
          <w:tcPr>
            <w:tcW w:w="3180" w:type="dxa"/>
            <w:tcMar>
              <w:top w:w="0" w:type="dxa"/>
              <w:bottom w:w="0" w:type="dxa"/>
            </w:tcMar>
            <w:vAlign w:val="center"/>
          </w:tcPr>
          <w:p w14:paraId="2D334276" w14:textId="77777777" w:rsidR="00A50D1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2896B55" w14:textId="77777777" w:rsidR="00A50D12" w:rsidRDefault="00000000">
            <w:pPr>
              <w:keepNext/>
              <w:keepLines/>
              <w:spacing w:after="0" w:line="240" w:lineRule="auto"/>
            </w:pPr>
            <w:r>
              <w:rPr>
                <w:sz w:val="18"/>
              </w:rPr>
              <w:t>3</w:t>
            </w:r>
          </w:p>
        </w:tc>
        <w:tc>
          <w:tcPr>
            <w:tcW w:w="1860" w:type="dxa"/>
            <w:tcMar>
              <w:top w:w="0" w:type="dxa"/>
              <w:bottom w:w="0" w:type="dxa"/>
            </w:tcMar>
            <w:vAlign w:val="center"/>
          </w:tcPr>
          <w:p w14:paraId="0CE753C7" w14:textId="77777777" w:rsidR="00A50D12" w:rsidRDefault="00000000">
            <w:pPr>
              <w:keepNext/>
              <w:keepLines/>
              <w:spacing w:after="0" w:line="240" w:lineRule="auto"/>
              <w:jc w:val="right"/>
            </w:pPr>
            <w:r>
              <w:rPr>
                <w:sz w:val="18"/>
              </w:rPr>
              <w:t>2.078.786,01</w:t>
            </w:r>
          </w:p>
        </w:tc>
        <w:tc>
          <w:tcPr>
            <w:tcW w:w="1860" w:type="dxa"/>
            <w:tcMar>
              <w:top w:w="0" w:type="dxa"/>
              <w:bottom w:w="0" w:type="dxa"/>
            </w:tcMar>
            <w:vAlign w:val="center"/>
          </w:tcPr>
          <w:p w14:paraId="2185C01A" w14:textId="77777777" w:rsidR="00A50D12" w:rsidRDefault="00000000">
            <w:pPr>
              <w:keepNext/>
              <w:keepLines/>
              <w:spacing w:after="0" w:line="240" w:lineRule="auto"/>
              <w:jc w:val="right"/>
            </w:pPr>
            <w:r>
              <w:rPr>
                <w:sz w:val="18"/>
              </w:rPr>
              <w:t>2.564.742,18</w:t>
            </w:r>
          </w:p>
        </w:tc>
        <w:tc>
          <w:tcPr>
            <w:tcW w:w="700" w:type="dxa"/>
            <w:tcMar>
              <w:top w:w="0" w:type="dxa"/>
              <w:bottom w:w="0" w:type="dxa"/>
            </w:tcMar>
            <w:vAlign w:val="center"/>
          </w:tcPr>
          <w:p w14:paraId="232771E0" w14:textId="77777777" w:rsidR="00A50D12" w:rsidRDefault="00000000">
            <w:pPr>
              <w:keepNext/>
              <w:keepLines/>
              <w:spacing w:after="0" w:line="240" w:lineRule="auto"/>
              <w:jc w:val="right"/>
            </w:pPr>
            <w:r>
              <w:rPr>
                <w:sz w:val="18"/>
              </w:rPr>
              <w:t>123,4</w:t>
            </w:r>
          </w:p>
        </w:tc>
      </w:tr>
    </w:tbl>
    <w:p w14:paraId="620B57C3" w14:textId="77777777" w:rsidR="00A50D12" w:rsidRDefault="00A50D12">
      <w:pPr>
        <w:spacing w:after="0"/>
      </w:pPr>
    </w:p>
    <w:p w14:paraId="6832ABBB" w14:textId="77777777" w:rsidR="00A50D12" w:rsidRDefault="00000000">
      <w:r>
        <w:t>Rashodi poslovanja za tekuće obračunsko razdoblje iznose 2.564.742,18 € što je za 23,4% više nego u istom razdoblju prošle godine.</w:t>
      </w:r>
    </w:p>
    <w:p w14:paraId="7AF3013E" w14:textId="77777777" w:rsidR="00A50D12" w:rsidRDefault="00A50D12"/>
    <w:p w14:paraId="57839F55" w14:textId="77777777" w:rsidR="00A50D12"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00FCFD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846ACD"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021C07"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FA2590"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7FEA2A" w14:textId="77777777" w:rsidR="00A50D1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4739D5" w14:textId="77777777" w:rsidR="00A50D1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825B80" w14:textId="77777777" w:rsidR="00A50D12" w:rsidRDefault="00000000">
            <w:pPr>
              <w:keepNext/>
              <w:keepLines/>
              <w:spacing w:after="0" w:line="240" w:lineRule="auto"/>
              <w:jc w:val="center"/>
            </w:pPr>
            <w:r>
              <w:rPr>
                <w:b/>
                <w:sz w:val="18"/>
              </w:rPr>
              <w:t>Indeks (%)</w:t>
            </w:r>
          </w:p>
        </w:tc>
      </w:tr>
      <w:tr w:rsidR="00A50D12" w14:paraId="37225609" w14:textId="77777777">
        <w:tblPrEx>
          <w:tblCellMar>
            <w:top w:w="0" w:type="dxa"/>
            <w:bottom w:w="0" w:type="dxa"/>
          </w:tblCellMar>
        </w:tblPrEx>
        <w:trPr>
          <w:cantSplit/>
          <w:trHeight w:val="560"/>
        </w:trPr>
        <w:tc>
          <w:tcPr>
            <w:tcW w:w="700" w:type="dxa"/>
            <w:tcMar>
              <w:top w:w="0" w:type="dxa"/>
              <w:bottom w:w="0" w:type="dxa"/>
            </w:tcMar>
            <w:vAlign w:val="center"/>
          </w:tcPr>
          <w:p w14:paraId="04845AAC" w14:textId="77777777" w:rsidR="00A50D12" w:rsidRDefault="00000000">
            <w:pPr>
              <w:keepNext/>
              <w:keepLines/>
              <w:spacing w:after="0" w:line="240" w:lineRule="auto"/>
            </w:pPr>
            <w:r>
              <w:rPr>
                <w:sz w:val="18"/>
              </w:rPr>
              <w:t>31</w:t>
            </w:r>
          </w:p>
        </w:tc>
        <w:tc>
          <w:tcPr>
            <w:tcW w:w="3180" w:type="dxa"/>
            <w:tcMar>
              <w:top w:w="0" w:type="dxa"/>
              <w:bottom w:w="0" w:type="dxa"/>
            </w:tcMar>
            <w:vAlign w:val="center"/>
          </w:tcPr>
          <w:p w14:paraId="64972A5E" w14:textId="77777777" w:rsidR="00A50D12"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164138CA" w14:textId="77777777" w:rsidR="00A50D12" w:rsidRDefault="00000000">
            <w:pPr>
              <w:keepNext/>
              <w:keepLines/>
              <w:spacing w:after="0" w:line="240" w:lineRule="auto"/>
            </w:pPr>
            <w:r>
              <w:rPr>
                <w:sz w:val="18"/>
              </w:rPr>
              <w:t>31</w:t>
            </w:r>
          </w:p>
        </w:tc>
        <w:tc>
          <w:tcPr>
            <w:tcW w:w="1860" w:type="dxa"/>
            <w:tcMar>
              <w:top w:w="0" w:type="dxa"/>
              <w:bottom w:w="0" w:type="dxa"/>
            </w:tcMar>
            <w:vAlign w:val="center"/>
          </w:tcPr>
          <w:p w14:paraId="5F2C64DD" w14:textId="77777777" w:rsidR="00A50D12" w:rsidRDefault="00000000">
            <w:pPr>
              <w:keepNext/>
              <w:keepLines/>
              <w:spacing w:after="0" w:line="240" w:lineRule="auto"/>
              <w:jc w:val="right"/>
            </w:pPr>
            <w:r>
              <w:rPr>
                <w:sz w:val="18"/>
              </w:rPr>
              <w:t>1.488.206,08</w:t>
            </w:r>
          </w:p>
        </w:tc>
        <w:tc>
          <w:tcPr>
            <w:tcW w:w="1860" w:type="dxa"/>
            <w:tcMar>
              <w:top w:w="0" w:type="dxa"/>
              <w:bottom w:w="0" w:type="dxa"/>
            </w:tcMar>
            <w:vAlign w:val="center"/>
          </w:tcPr>
          <w:p w14:paraId="45265710" w14:textId="77777777" w:rsidR="00A50D12" w:rsidRDefault="00000000">
            <w:pPr>
              <w:keepNext/>
              <w:keepLines/>
              <w:spacing w:after="0" w:line="240" w:lineRule="auto"/>
              <w:jc w:val="right"/>
            </w:pPr>
            <w:r>
              <w:rPr>
                <w:sz w:val="18"/>
              </w:rPr>
              <w:t>1.902.612,30</w:t>
            </w:r>
          </w:p>
        </w:tc>
        <w:tc>
          <w:tcPr>
            <w:tcW w:w="700" w:type="dxa"/>
            <w:tcMar>
              <w:top w:w="0" w:type="dxa"/>
              <w:bottom w:w="0" w:type="dxa"/>
            </w:tcMar>
            <w:vAlign w:val="center"/>
          </w:tcPr>
          <w:p w14:paraId="6AE6E66A" w14:textId="77777777" w:rsidR="00A50D12" w:rsidRDefault="00000000">
            <w:pPr>
              <w:keepNext/>
              <w:keepLines/>
              <w:spacing w:after="0" w:line="240" w:lineRule="auto"/>
              <w:jc w:val="right"/>
            </w:pPr>
            <w:r>
              <w:rPr>
                <w:sz w:val="18"/>
              </w:rPr>
              <w:t>127,8</w:t>
            </w:r>
          </w:p>
        </w:tc>
      </w:tr>
    </w:tbl>
    <w:p w14:paraId="3B4B75E8" w14:textId="77777777" w:rsidR="00A50D12" w:rsidRDefault="00A50D12">
      <w:pPr>
        <w:spacing w:after="0"/>
      </w:pPr>
    </w:p>
    <w:p w14:paraId="58F70891" w14:textId="77777777" w:rsidR="00A50D12" w:rsidRDefault="00000000">
      <w:r>
        <w:t>Rashodi za zaposlene ostvareni u 2025. godini iznose 1.902.612,30 € što je za 27,8% više nego u istom razdoblju prethodne godine. Do povećanja dolazi zbog povećanja plaća zaposlenih u sustavu obrazovanja. Također dolazi do odstupanja u odnosu na prošlu godinu zbog ukidanja kontinuiranih rashoda te se početno stanje kontinuiranih rashoda budućih razdoblja (plaća 12/2024) prenosi na odgovarajuće račune razreda 3-rashodi poslovanja s danom 1. siječnja 2025. godine</w:t>
      </w:r>
    </w:p>
    <w:p w14:paraId="181080DD" w14:textId="77777777" w:rsidR="00A50D12" w:rsidRDefault="00A50D12"/>
    <w:p w14:paraId="4C2C5E20" w14:textId="77777777" w:rsidR="00A50D12"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446883B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23C22C"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DCF5F0"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D3DDDE"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F353C8" w14:textId="77777777" w:rsidR="00A50D1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E1FA19" w14:textId="77777777" w:rsidR="00A50D1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444DC6" w14:textId="77777777" w:rsidR="00A50D12" w:rsidRDefault="00000000">
            <w:pPr>
              <w:keepNext/>
              <w:keepLines/>
              <w:spacing w:after="0" w:line="240" w:lineRule="auto"/>
              <w:jc w:val="center"/>
            </w:pPr>
            <w:r>
              <w:rPr>
                <w:b/>
                <w:sz w:val="18"/>
              </w:rPr>
              <w:t>Indeks (%)</w:t>
            </w:r>
          </w:p>
        </w:tc>
      </w:tr>
      <w:tr w:rsidR="00A50D12" w14:paraId="05CFAABC" w14:textId="77777777">
        <w:tblPrEx>
          <w:tblCellMar>
            <w:top w:w="0" w:type="dxa"/>
            <w:bottom w:w="0" w:type="dxa"/>
          </w:tblCellMar>
        </w:tblPrEx>
        <w:trPr>
          <w:cantSplit/>
          <w:trHeight w:val="560"/>
        </w:trPr>
        <w:tc>
          <w:tcPr>
            <w:tcW w:w="700" w:type="dxa"/>
            <w:tcMar>
              <w:top w:w="0" w:type="dxa"/>
              <w:bottom w:w="0" w:type="dxa"/>
            </w:tcMar>
            <w:vAlign w:val="center"/>
          </w:tcPr>
          <w:p w14:paraId="7891D4B3" w14:textId="77777777" w:rsidR="00A50D12" w:rsidRDefault="00000000">
            <w:pPr>
              <w:keepNext/>
              <w:keepLines/>
              <w:spacing w:after="0" w:line="240" w:lineRule="auto"/>
            </w:pPr>
            <w:r>
              <w:rPr>
                <w:sz w:val="18"/>
              </w:rPr>
              <w:t>32</w:t>
            </w:r>
          </w:p>
        </w:tc>
        <w:tc>
          <w:tcPr>
            <w:tcW w:w="3180" w:type="dxa"/>
            <w:tcMar>
              <w:top w:w="0" w:type="dxa"/>
              <w:bottom w:w="0" w:type="dxa"/>
            </w:tcMar>
            <w:vAlign w:val="center"/>
          </w:tcPr>
          <w:p w14:paraId="0D99D356" w14:textId="77777777" w:rsidR="00A50D12"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614D4AE7" w14:textId="77777777" w:rsidR="00A50D12" w:rsidRDefault="00000000">
            <w:pPr>
              <w:keepNext/>
              <w:keepLines/>
              <w:spacing w:after="0" w:line="240" w:lineRule="auto"/>
            </w:pPr>
            <w:r>
              <w:rPr>
                <w:sz w:val="18"/>
              </w:rPr>
              <w:t>32</w:t>
            </w:r>
          </w:p>
        </w:tc>
        <w:tc>
          <w:tcPr>
            <w:tcW w:w="1860" w:type="dxa"/>
            <w:tcMar>
              <w:top w:w="0" w:type="dxa"/>
              <w:bottom w:w="0" w:type="dxa"/>
            </w:tcMar>
            <w:vAlign w:val="center"/>
          </w:tcPr>
          <w:p w14:paraId="6D3F76C0" w14:textId="77777777" w:rsidR="00A50D12" w:rsidRDefault="00000000">
            <w:pPr>
              <w:keepNext/>
              <w:keepLines/>
              <w:spacing w:after="0" w:line="240" w:lineRule="auto"/>
              <w:jc w:val="right"/>
            </w:pPr>
            <w:r>
              <w:rPr>
                <w:sz w:val="18"/>
              </w:rPr>
              <w:t>537.902,71</w:t>
            </w:r>
          </w:p>
        </w:tc>
        <w:tc>
          <w:tcPr>
            <w:tcW w:w="1860" w:type="dxa"/>
            <w:tcMar>
              <w:top w:w="0" w:type="dxa"/>
              <w:bottom w:w="0" w:type="dxa"/>
            </w:tcMar>
            <w:vAlign w:val="center"/>
          </w:tcPr>
          <w:p w14:paraId="36BBA71A" w14:textId="77777777" w:rsidR="00A50D12" w:rsidRDefault="00000000">
            <w:pPr>
              <w:keepNext/>
              <w:keepLines/>
              <w:spacing w:after="0" w:line="240" w:lineRule="auto"/>
              <w:jc w:val="right"/>
            </w:pPr>
            <w:r>
              <w:rPr>
                <w:sz w:val="18"/>
              </w:rPr>
              <w:t>605.623,25</w:t>
            </w:r>
          </w:p>
        </w:tc>
        <w:tc>
          <w:tcPr>
            <w:tcW w:w="700" w:type="dxa"/>
            <w:tcMar>
              <w:top w:w="0" w:type="dxa"/>
              <w:bottom w:w="0" w:type="dxa"/>
            </w:tcMar>
            <w:vAlign w:val="center"/>
          </w:tcPr>
          <w:p w14:paraId="580653F4" w14:textId="77777777" w:rsidR="00A50D12" w:rsidRDefault="00000000">
            <w:pPr>
              <w:keepNext/>
              <w:keepLines/>
              <w:spacing w:after="0" w:line="240" w:lineRule="auto"/>
              <w:jc w:val="right"/>
            </w:pPr>
            <w:r>
              <w:rPr>
                <w:sz w:val="18"/>
              </w:rPr>
              <w:t>112,6</w:t>
            </w:r>
          </w:p>
        </w:tc>
      </w:tr>
    </w:tbl>
    <w:p w14:paraId="0AD5A1C7" w14:textId="77777777" w:rsidR="00A50D12" w:rsidRDefault="00A50D12">
      <w:pPr>
        <w:spacing w:after="0"/>
      </w:pPr>
    </w:p>
    <w:p w14:paraId="40ABFA9A" w14:textId="77777777" w:rsidR="00A50D12" w:rsidRDefault="00000000">
      <w:r>
        <w:t xml:space="preserve">Materijalni rashodi koji su ostvareni u izvještajnom razdoblju tekuće godine iznose 605.623,25 € što je za 12,6 % više nego u istom razdoblju prethodne godine. Do povećanja dolazi zbog povećanja naknade troškova zaposlenima, nabave psihodijagnostičkih sredstava, nabave materijala i  sitnog inventara za potrebe provođenja cjelodnevne nastave, prehrane učenika (doručak i ručak), usluga provođenja zaštite na radu, usluga pri registraciji službenog vozila te ostalih nespomenutih rashoda poslovanja (ugošćavanje škola iz Vinkovaca u sklopu provođenja cjelodnevne nastave, financirano od darovnica, premije osiguranja službenog </w:t>
      </w:r>
      <w:r>
        <w:lastRenderedPageBreak/>
        <w:t>vozila te ostali rashodi potrebni za provođenje B1 aktivnosti kao i provođenje usluga od strane NZJZ.</w:t>
      </w:r>
    </w:p>
    <w:p w14:paraId="20B9BF56" w14:textId="77777777" w:rsidR="00A50D12" w:rsidRDefault="00000000">
      <w:r>
        <w:t> </w:t>
      </w:r>
    </w:p>
    <w:p w14:paraId="10EE1478" w14:textId="77777777" w:rsidR="00A50D12" w:rsidRDefault="00A50D12"/>
    <w:p w14:paraId="18940B59" w14:textId="77777777" w:rsidR="00A50D12"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6570B5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842150"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FEB495"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628CA7"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BAA8F4" w14:textId="77777777" w:rsidR="00A50D1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F05AA7" w14:textId="77777777" w:rsidR="00A50D1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D2937B" w14:textId="77777777" w:rsidR="00A50D12" w:rsidRDefault="00000000">
            <w:pPr>
              <w:keepNext/>
              <w:keepLines/>
              <w:spacing w:after="0" w:line="240" w:lineRule="auto"/>
              <w:jc w:val="center"/>
            </w:pPr>
            <w:r>
              <w:rPr>
                <w:b/>
                <w:sz w:val="18"/>
              </w:rPr>
              <w:t>Indeks (%)</w:t>
            </w:r>
          </w:p>
        </w:tc>
      </w:tr>
      <w:tr w:rsidR="00A50D12" w14:paraId="726153E9" w14:textId="77777777">
        <w:tblPrEx>
          <w:tblCellMar>
            <w:top w:w="0" w:type="dxa"/>
            <w:bottom w:w="0" w:type="dxa"/>
          </w:tblCellMar>
        </w:tblPrEx>
        <w:trPr>
          <w:cantSplit/>
          <w:trHeight w:val="560"/>
        </w:trPr>
        <w:tc>
          <w:tcPr>
            <w:tcW w:w="700" w:type="dxa"/>
            <w:tcMar>
              <w:top w:w="0" w:type="dxa"/>
              <w:bottom w:w="0" w:type="dxa"/>
            </w:tcMar>
            <w:vAlign w:val="center"/>
          </w:tcPr>
          <w:p w14:paraId="2FE4EF99" w14:textId="77777777" w:rsidR="00A50D12" w:rsidRDefault="00000000">
            <w:pPr>
              <w:keepNext/>
              <w:keepLines/>
              <w:spacing w:after="0" w:line="240" w:lineRule="auto"/>
            </w:pPr>
            <w:r>
              <w:rPr>
                <w:sz w:val="18"/>
              </w:rPr>
              <w:t>3237</w:t>
            </w:r>
          </w:p>
        </w:tc>
        <w:tc>
          <w:tcPr>
            <w:tcW w:w="3180" w:type="dxa"/>
            <w:tcMar>
              <w:top w:w="0" w:type="dxa"/>
              <w:bottom w:w="0" w:type="dxa"/>
            </w:tcMar>
            <w:vAlign w:val="center"/>
          </w:tcPr>
          <w:p w14:paraId="7CC89AA4" w14:textId="77777777" w:rsidR="00A50D12"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36E19285" w14:textId="77777777" w:rsidR="00A50D12" w:rsidRDefault="00000000">
            <w:pPr>
              <w:keepNext/>
              <w:keepLines/>
              <w:spacing w:after="0" w:line="240" w:lineRule="auto"/>
            </w:pPr>
            <w:r>
              <w:rPr>
                <w:sz w:val="18"/>
              </w:rPr>
              <w:t>3237</w:t>
            </w:r>
          </w:p>
        </w:tc>
        <w:tc>
          <w:tcPr>
            <w:tcW w:w="1860" w:type="dxa"/>
            <w:tcMar>
              <w:top w:w="0" w:type="dxa"/>
              <w:bottom w:w="0" w:type="dxa"/>
            </w:tcMar>
            <w:vAlign w:val="center"/>
          </w:tcPr>
          <w:p w14:paraId="06BEC56C" w14:textId="77777777" w:rsidR="00A50D12" w:rsidRDefault="00000000">
            <w:pPr>
              <w:keepNext/>
              <w:keepLines/>
              <w:spacing w:after="0" w:line="240" w:lineRule="auto"/>
              <w:jc w:val="right"/>
            </w:pPr>
            <w:r>
              <w:rPr>
                <w:sz w:val="18"/>
              </w:rPr>
              <w:t>14.951,56</w:t>
            </w:r>
          </w:p>
        </w:tc>
        <w:tc>
          <w:tcPr>
            <w:tcW w:w="1860" w:type="dxa"/>
            <w:tcMar>
              <w:top w:w="0" w:type="dxa"/>
              <w:bottom w:w="0" w:type="dxa"/>
            </w:tcMar>
            <w:vAlign w:val="center"/>
          </w:tcPr>
          <w:p w14:paraId="5FA87030" w14:textId="77777777" w:rsidR="00A50D12" w:rsidRDefault="00000000">
            <w:pPr>
              <w:keepNext/>
              <w:keepLines/>
              <w:spacing w:after="0" w:line="240" w:lineRule="auto"/>
              <w:jc w:val="right"/>
            </w:pPr>
            <w:r>
              <w:rPr>
                <w:sz w:val="18"/>
              </w:rPr>
              <w:t>2.351,12</w:t>
            </w:r>
          </w:p>
        </w:tc>
        <w:tc>
          <w:tcPr>
            <w:tcW w:w="700" w:type="dxa"/>
            <w:tcMar>
              <w:top w:w="0" w:type="dxa"/>
              <w:bottom w:w="0" w:type="dxa"/>
            </w:tcMar>
            <w:vAlign w:val="center"/>
          </w:tcPr>
          <w:p w14:paraId="5BE4C4DE" w14:textId="77777777" w:rsidR="00A50D12" w:rsidRDefault="00000000">
            <w:pPr>
              <w:keepNext/>
              <w:keepLines/>
              <w:spacing w:after="0" w:line="240" w:lineRule="auto"/>
              <w:jc w:val="right"/>
            </w:pPr>
            <w:r>
              <w:rPr>
                <w:sz w:val="18"/>
              </w:rPr>
              <w:t>15,7</w:t>
            </w:r>
          </w:p>
        </w:tc>
      </w:tr>
    </w:tbl>
    <w:p w14:paraId="1ADCF4A1" w14:textId="77777777" w:rsidR="00A50D12" w:rsidRDefault="00A50D12">
      <w:pPr>
        <w:spacing w:after="0"/>
      </w:pPr>
    </w:p>
    <w:p w14:paraId="29A17604" w14:textId="77777777" w:rsidR="00A50D12" w:rsidRDefault="00000000">
      <w:r>
        <w:t>Intelektualne i osobne usluge u izvještajnom razdoblju tekuće godine iznose 2.351,12 € što je za 84,3% manje u odnosu na isto razdoblje prethodne godine. Do razlike dolazi  zbog toga što smo u istom razdoblju prethodne godine imali isplatu ugovora o djelu za djelatnike koji su sudjelovali u projektu Biomozaik krš i more i provođenje jednostavne nabave za prehranu, a ove godine smo imali samo postupak provođenja jednostavne nabave za izvannastavne aktivnosti i prehranu učenika</w:t>
      </w:r>
    </w:p>
    <w:p w14:paraId="323953C4" w14:textId="77777777" w:rsidR="00A50D12" w:rsidRDefault="00A50D12"/>
    <w:p w14:paraId="5C4F57A6" w14:textId="77777777" w:rsidR="00A50D12"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635BA3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AE26626"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75C0C3"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709D2E"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4ACB39" w14:textId="77777777" w:rsidR="00A50D1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63178E" w14:textId="77777777" w:rsidR="00A50D1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8B983A" w14:textId="77777777" w:rsidR="00A50D12" w:rsidRDefault="00000000">
            <w:pPr>
              <w:keepNext/>
              <w:keepLines/>
              <w:spacing w:after="0" w:line="240" w:lineRule="auto"/>
              <w:jc w:val="center"/>
            </w:pPr>
            <w:r>
              <w:rPr>
                <w:b/>
                <w:sz w:val="18"/>
              </w:rPr>
              <w:t>Indeks (%)</w:t>
            </w:r>
          </w:p>
        </w:tc>
      </w:tr>
      <w:tr w:rsidR="00A50D12" w14:paraId="36835A81" w14:textId="77777777">
        <w:tblPrEx>
          <w:tblCellMar>
            <w:top w:w="0" w:type="dxa"/>
            <w:bottom w:w="0" w:type="dxa"/>
          </w:tblCellMar>
        </w:tblPrEx>
        <w:trPr>
          <w:cantSplit/>
          <w:trHeight w:val="560"/>
        </w:trPr>
        <w:tc>
          <w:tcPr>
            <w:tcW w:w="700" w:type="dxa"/>
            <w:tcMar>
              <w:top w:w="0" w:type="dxa"/>
              <w:bottom w:w="0" w:type="dxa"/>
            </w:tcMar>
            <w:vAlign w:val="center"/>
          </w:tcPr>
          <w:p w14:paraId="4D99ECA2" w14:textId="77777777" w:rsidR="00A50D12" w:rsidRDefault="00000000">
            <w:pPr>
              <w:keepNext/>
              <w:keepLines/>
              <w:spacing w:after="0" w:line="240" w:lineRule="auto"/>
            </w:pPr>
            <w:r>
              <w:rPr>
                <w:sz w:val="18"/>
              </w:rPr>
              <w:t>4</w:t>
            </w:r>
          </w:p>
        </w:tc>
        <w:tc>
          <w:tcPr>
            <w:tcW w:w="3180" w:type="dxa"/>
            <w:tcMar>
              <w:top w:w="0" w:type="dxa"/>
              <w:bottom w:w="0" w:type="dxa"/>
            </w:tcMar>
            <w:vAlign w:val="center"/>
          </w:tcPr>
          <w:p w14:paraId="2517EC34" w14:textId="77777777" w:rsidR="00A50D1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1CD4934" w14:textId="77777777" w:rsidR="00A50D12" w:rsidRDefault="00000000">
            <w:pPr>
              <w:keepNext/>
              <w:keepLines/>
              <w:spacing w:after="0" w:line="240" w:lineRule="auto"/>
            </w:pPr>
            <w:r>
              <w:rPr>
                <w:sz w:val="18"/>
              </w:rPr>
              <w:t>4</w:t>
            </w:r>
          </w:p>
        </w:tc>
        <w:tc>
          <w:tcPr>
            <w:tcW w:w="1860" w:type="dxa"/>
            <w:tcMar>
              <w:top w:w="0" w:type="dxa"/>
              <w:bottom w:w="0" w:type="dxa"/>
            </w:tcMar>
            <w:vAlign w:val="center"/>
          </w:tcPr>
          <w:p w14:paraId="5B7E2036" w14:textId="77777777" w:rsidR="00A50D12" w:rsidRDefault="00000000">
            <w:pPr>
              <w:keepNext/>
              <w:keepLines/>
              <w:spacing w:after="0" w:line="240" w:lineRule="auto"/>
              <w:jc w:val="right"/>
            </w:pPr>
            <w:r>
              <w:rPr>
                <w:sz w:val="18"/>
              </w:rPr>
              <w:t>31.355,49</w:t>
            </w:r>
          </w:p>
        </w:tc>
        <w:tc>
          <w:tcPr>
            <w:tcW w:w="1860" w:type="dxa"/>
            <w:tcMar>
              <w:top w:w="0" w:type="dxa"/>
              <w:bottom w:w="0" w:type="dxa"/>
            </w:tcMar>
            <w:vAlign w:val="center"/>
          </w:tcPr>
          <w:p w14:paraId="10A6AD08" w14:textId="77777777" w:rsidR="00A50D12" w:rsidRDefault="00000000">
            <w:pPr>
              <w:keepNext/>
              <w:keepLines/>
              <w:spacing w:after="0" w:line="240" w:lineRule="auto"/>
              <w:jc w:val="right"/>
            </w:pPr>
            <w:r>
              <w:rPr>
                <w:sz w:val="18"/>
              </w:rPr>
              <w:t>730.569,17</w:t>
            </w:r>
          </w:p>
        </w:tc>
        <w:tc>
          <w:tcPr>
            <w:tcW w:w="700" w:type="dxa"/>
            <w:tcMar>
              <w:top w:w="0" w:type="dxa"/>
              <w:bottom w:w="0" w:type="dxa"/>
            </w:tcMar>
            <w:vAlign w:val="center"/>
          </w:tcPr>
          <w:p w14:paraId="6548D795" w14:textId="77777777" w:rsidR="00A50D12" w:rsidRDefault="00000000">
            <w:pPr>
              <w:keepNext/>
              <w:keepLines/>
              <w:spacing w:after="0" w:line="240" w:lineRule="auto"/>
              <w:jc w:val="right"/>
            </w:pPr>
            <w:r>
              <w:rPr>
                <w:sz w:val="18"/>
              </w:rPr>
              <w:t>2330,0</w:t>
            </w:r>
          </w:p>
        </w:tc>
      </w:tr>
    </w:tbl>
    <w:p w14:paraId="6833C580" w14:textId="77777777" w:rsidR="00A50D12" w:rsidRDefault="00A50D12">
      <w:pPr>
        <w:spacing w:after="0"/>
      </w:pPr>
    </w:p>
    <w:p w14:paraId="252CBA02" w14:textId="77777777" w:rsidR="00A50D12" w:rsidRDefault="00000000">
      <w:r>
        <w:t>Rashodi za nabavu nefinancijske imovine iznose 730.569,17 €  te je iskazan manjak prihoda od nefinancijske imovine u iznosu 730.569,17 €.  </w:t>
      </w:r>
    </w:p>
    <w:p w14:paraId="3FE8B7E4" w14:textId="77777777" w:rsidR="00A50D12" w:rsidRDefault="00A50D12"/>
    <w:p w14:paraId="5DE38583" w14:textId="77777777" w:rsidR="00A50D12"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5FE6F2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85CAB4"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BE4C9C"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8DC1D5"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51D4F5" w14:textId="77777777" w:rsidR="00A50D1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6386E9" w14:textId="77777777" w:rsidR="00A50D1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3B4C32" w14:textId="77777777" w:rsidR="00A50D12" w:rsidRDefault="00000000">
            <w:pPr>
              <w:keepNext/>
              <w:keepLines/>
              <w:spacing w:after="0" w:line="240" w:lineRule="auto"/>
              <w:jc w:val="center"/>
            </w:pPr>
            <w:r>
              <w:rPr>
                <w:b/>
                <w:sz w:val="18"/>
              </w:rPr>
              <w:t>Indeks (%)</w:t>
            </w:r>
          </w:p>
        </w:tc>
      </w:tr>
      <w:tr w:rsidR="00A50D12" w14:paraId="75B3B1B7" w14:textId="77777777">
        <w:tblPrEx>
          <w:tblCellMar>
            <w:top w:w="0" w:type="dxa"/>
            <w:bottom w:w="0" w:type="dxa"/>
          </w:tblCellMar>
        </w:tblPrEx>
        <w:trPr>
          <w:cantSplit/>
          <w:trHeight w:val="560"/>
        </w:trPr>
        <w:tc>
          <w:tcPr>
            <w:tcW w:w="700" w:type="dxa"/>
            <w:tcMar>
              <w:top w:w="0" w:type="dxa"/>
              <w:bottom w:w="0" w:type="dxa"/>
            </w:tcMar>
            <w:vAlign w:val="center"/>
          </w:tcPr>
          <w:p w14:paraId="39FD9E1B" w14:textId="77777777" w:rsidR="00A50D12" w:rsidRDefault="00000000">
            <w:pPr>
              <w:keepNext/>
              <w:keepLines/>
              <w:spacing w:after="0" w:line="240" w:lineRule="auto"/>
            </w:pPr>
            <w:r>
              <w:rPr>
                <w:sz w:val="18"/>
              </w:rPr>
              <w:t>42</w:t>
            </w:r>
          </w:p>
        </w:tc>
        <w:tc>
          <w:tcPr>
            <w:tcW w:w="3180" w:type="dxa"/>
            <w:tcMar>
              <w:top w:w="0" w:type="dxa"/>
              <w:bottom w:w="0" w:type="dxa"/>
            </w:tcMar>
            <w:vAlign w:val="center"/>
          </w:tcPr>
          <w:p w14:paraId="51A74068" w14:textId="77777777" w:rsidR="00A50D12"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185EC461" w14:textId="77777777" w:rsidR="00A50D12" w:rsidRDefault="00000000">
            <w:pPr>
              <w:keepNext/>
              <w:keepLines/>
              <w:spacing w:after="0" w:line="240" w:lineRule="auto"/>
            </w:pPr>
            <w:r>
              <w:rPr>
                <w:sz w:val="18"/>
              </w:rPr>
              <w:t>42</w:t>
            </w:r>
          </w:p>
        </w:tc>
        <w:tc>
          <w:tcPr>
            <w:tcW w:w="1860" w:type="dxa"/>
            <w:tcMar>
              <w:top w:w="0" w:type="dxa"/>
              <w:bottom w:w="0" w:type="dxa"/>
            </w:tcMar>
            <w:vAlign w:val="center"/>
          </w:tcPr>
          <w:p w14:paraId="06A0749D" w14:textId="77777777" w:rsidR="00A50D12" w:rsidRDefault="00000000">
            <w:pPr>
              <w:keepNext/>
              <w:keepLines/>
              <w:spacing w:after="0" w:line="240" w:lineRule="auto"/>
              <w:jc w:val="right"/>
            </w:pPr>
            <w:r>
              <w:rPr>
                <w:sz w:val="18"/>
              </w:rPr>
              <w:t>31.355,49</w:t>
            </w:r>
          </w:p>
        </w:tc>
        <w:tc>
          <w:tcPr>
            <w:tcW w:w="1860" w:type="dxa"/>
            <w:tcMar>
              <w:top w:w="0" w:type="dxa"/>
              <w:bottom w:w="0" w:type="dxa"/>
            </w:tcMar>
            <w:vAlign w:val="center"/>
          </w:tcPr>
          <w:p w14:paraId="54A6676D" w14:textId="77777777" w:rsidR="00A50D12" w:rsidRDefault="00000000">
            <w:pPr>
              <w:keepNext/>
              <w:keepLines/>
              <w:spacing w:after="0" w:line="240" w:lineRule="auto"/>
              <w:jc w:val="right"/>
            </w:pPr>
            <w:r>
              <w:rPr>
                <w:sz w:val="18"/>
              </w:rPr>
              <w:t>193.872,78</w:t>
            </w:r>
          </w:p>
        </w:tc>
        <w:tc>
          <w:tcPr>
            <w:tcW w:w="700" w:type="dxa"/>
            <w:tcMar>
              <w:top w:w="0" w:type="dxa"/>
              <w:bottom w:w="0" w:type="dxa"/>
            </w:tcMar>
            <w:vAlign w:val="center"/>
          </w:tcPr>
          <w:p w14:paraId="0EDAA9E0" w14:textId="77777777" w:rsidR="00A50D12" w:rsidRDefault="00000000">
            <w:pPr>
              <w:keepNext/>
              <w:keepLines/>
              <w:spacing w:after="0" w:line="240" w:lineRule="auto"/>
              <w:jc w:val="right"/>
            </w:pPr>
            <w:r>
              <w:rPr>
                <w:sz w:val="18"/>
              </w:rPr>
              <w:t>618,3</w:t>
            </w:r>
          </w:p>
        </w:tc>
      </w:tr>
    </w:tbl>
    <w:p w14:paraId="09B5B44B" w14:textId="77777777" w:rsidR="00A50D12" w:rsidRDefault="00A50D12">
      <w:pPr>
        <w:spacing w:after="0"/>
      </w:pPr>
    </w:p>
    <w:p w14:paraId="1AD249A3" w14:textId="77777777" w:rsidR="00A50D12" w:rsidRDefault="00000000">
      <w:r>
        <w:t>Rashodi za nabavu proizvedene dugotrajne imovine u izvještajnom razdoblju tekuće godine iznose 193.872,78 € što je za 518,3 % više nego u izvještajnom razdoblju prethodne godine. Navedeni rashodi se odnose  na uredsku, informatičku, sportsku, glazbenu, didaktičku opremu te opremanje školske knjižnice u  sklopu cjelodnevne nastave (financirano od strane MZOM-a). Također smo za potrebe provođenje cjelodnevne nastave imali nabavu službenog vozila (financirano od strane nadležnog proračuna i MZOM-a).</w:t>
      </w:r>
    </w:p>
    <w:p w14:paraId="105FA206" w14:textId="77777777" w:rsidR="00A50D12" w:rsidRDefault="00A50D12"/>
    <w:p w14:paraId="3FD76F4F" w14:textId="77777777" w:rsidR="00A50D12"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4DC054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D60D34"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C56620"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EB921F"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518773" w14:textId="77777777" w:rsidR="00A50D1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C63EF7" w14:textId="77777777" w:rsidR="00A50D1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6A4AB2" w14:textId="77777777" w:rsidR="00A50D12" w:rsidRDefault="00000000">
            <w:pPr>
              <w:keepNext/>
              <w:keepLines/>
              <w:spacing w:after="0" w:line="240" w:lineRule="auto"/>
              <w:jc w:val="center"/>
            </w:pPr>
            <w:r>
              <w:rPr>
                <w:b/>
                <w:sz w:val="18"/>
              </w:rPr>
              <w:t>Indeks (%)</w:t>
            </w:r>
          </w:p>
        </w:tc>
      </w:tr>
      <w:tr w:rsidR="00A50D12" w14:paraId="2DCB624C" w14:textId="77777777">
        <w:tblPrEx>
          <w:tblCellMar>
            <w:top w:w="0" w:type="dxa"/>
            <w:bottom w:w="0" w:type="dxa"/>
          </w:tblCellMar>
        </w:tblPrEx>
        <w:trPr>
          <w:cantSplit/>
          <w:trHeight w:val="560"/>
        </w:trPr>
        <w:tc>
          <w:tcPr>
            <w:tcW w:w="700" w:type="dxa"/>
            <w:tcMar>
              <w:top w:w="0" w:type="dxa"/>
              <w:bottom w:w="0" w:type="dxa"/>
            </w:tcMar>
            <w:vAlign w:val="center"/>
          </w:tcPr>
          <w:p w14:paraId="667C30CE" w14:textId="77777777" w:rsidR="00A50D12" w:rsidRDefault="00000000">
            <w:pPr>
              <w:keepNext/>
              <w:keepLines/>
              <w:spacing w:after="0" w:line="240" w:lineRule="auto"/>
            </w:pPr>
            <w:r>
              <w:rPr>
                <w:sz w:val="18"/>
              </w:rPr>
              <w:t>45</w:t>
            </w:r>
          </w:p>
        </w:tc>
        <w:tc>
          <w:tcPr>
            <w:tcW w:w="3180" w:type="dxa"/>
            <w:tcMar>
              <w:top w:w="0" w:type="dxa"/>
              <w:bottom w:w="0" w:type="dxa"/>
            </w:tcMar>
            <w:vAlign w:val="center"/>
          </w:tcPr>
          <w:p w14:paraId="45693A22" w14:textId="77777777" w:rsidR="00A50D12"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70E80862" w14:textId="77777777" w:rsidR="00A50D12" w:rsidRDefault="00000000">
            <w:pPr>
              <w:keepNext/>
              <w:keepLines/>
              <w:spacing w:after="0" w:line="240" w:lineRule="auto"/>
            </w:pPr>
            <w:r>
              <w:rPr>
                <w:sz w:val="18"/>
              </w:rPr>
              <w:t>45</w:t>
            </w:r>
          </w:p>
        </w:tc>
        <w:tc>
          <w:tcPr>
            <w:tcW w:w="1860" w:type="dxa"/>
            <w:tcMar>
              <w:top w:w="0" w:type="dxa"/>
              <w:bottom w:w="0" w:type="dxa"/>
            </w:tcMar>
            <w:vAlign w:val="center"/>
          </w:tcPr>
          <w:p w14:paraId="1096963C" w14:textId="77777777" w:rsidR="00A50D12" w:rsidRDefault="00000000">
            <w:pPr>
              <w:keepNext/>
              <w:keepLines/>
              <w:spacing w:after="0" w:line="240" w:lineRule="auto"/>
              <w:jc w:val="right"/>
            </w:pPr>
            <w:r>
              <w:rPr>
                <w:sz w:val="18"/>
              </w:rPr>
              <w:t>0,00</w:t>
            </w:r>
          </w:p>
        </w:tc>
        <w:tc>
          <w:tcPr>
            <w:tcW w:w="1860" w:type="dxa"/>
            <w:tcMar>
              <w:top w:w="0" w:type="dxa"/>
              <w:bottom w:w="0" w:type="dxa"/>
            </w:tcMar>
            <w:vAlign w:val="center"/>
          </w:tcPr>
          <w:p w14:paraId="7C0E2E5F" w14:textId="77777777" w:rsidR="00A50D12" w:rsidRDefault="00000000">
            <w:pPr>
              <w:keepNext/>
              <w:keepLines/>
              <w:spacing w:after="0" w:line="240" w:lineRule="auto"/>
              <w:jc w:val="right"/>
            </w:pPr>
            <w:r>
              <w:rPr>
                <w:sz w:val="18"/>
              </w:rPr>
              <w:t>536.696,39</w:t>
            </w:r>
          </w:p>
        </w:tc>
        <w:tc>
          <w:tcPr>
            <w:tcW w:w="700" w:type="dxa"/>
            <w:tcMar>
              <w:top w:w="0" w:type="dxa"/>
              <w:bottom w:w="0" w:type="dxa"/>
            </w:tcMar>
            <w:vAlign w:val="center"/>
          </w:tcPr>
          <w:p w14:paraId="4715E3A7" w14:textId="77777777" w:rsidR="00A50D12" w:rsidRDefault="00000000">
            <w:pPr>
              <w:keepNext/>
              <w:keepLines/>
              <w:spacing w:after="0" w:line="240" w:lineRule="auto"/>
              <w:jc w:val="right"/>
            </w:pPr>
            <w:r>
              <w:rPr>
                <w:sz w:val="18"/>
              </w:rPr>
              <w:t>-</w:t>
            </w:r>
          </w:p>
        </w:tc>
      </w:tr>
    </w:tbl>
    <w:p w14:paraId="6E86D546" w14:textId="77777777" w:rsidR="00A50D12" w:rsidRDefault="00A50D12">
      <w:pPr>
        <w:spacing w:after="0"/>
      </w:pPr>
    </w:p>
    <w:p w14:paraId="45B0CC33" w14:textId="77777777" w:rsidR="00A50D12" w:rsidRDefault="00000000">
      <w:r>
        <w:t>Rashodi za dodatna ulaganja na nefinancijskoj imovini smo imali samo u tekućoj godini u iznosu od 536.696,39 € što se odnosi na građevinske radove koji su se provodili za izgradnju školske kuhinje i blagovaonice za potrebe provođenja cjelodnevne nastave (financirano od strane nadležnog proračuna i MZOM).</w:t>
      </w:r>
    </w:p>
    <w:p w14:paraId="2A969E6A" w14:textId="77777777" w:rsidR="00A50D12" w:rsidRDefault="00A50D12"/>
    <w:p w14:paraId="6F4812D6" w14:textId="77777777" w:rsidR="00A50D12"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41ADE5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077CC6"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4A9A76"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14753D"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E26CDD" w14:textId="77777777" w:rsidR="00A50D1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7753F8" w14:textId="77777777" w:rsidR="00A50D1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DD2A55" w14:textId="77777777" w:rsidR="00A50D12" w:rsidRDefault="00000000">
            <w:pPr>
              <w:keepNext/>
              <w:keepLines/>
              <w:spacing w:after="0" w:line="240" w:lineRule="auto"/>
              <w:jc w:val="center"/>
            </w:pPr>
            <w:r>
              <w:rPr>
                <w:b/>
                <w:sz w:val="18"/>
              </w:rPr>
              <w:t>Indeks (%)</w:t>
            </w:r>
          </w:p>
        </w:tc>
      </w:tr>
      <w:tr w:rsidR="00A50D12" w14:paraId="50B5BEA9" w14:textId="77777777">
        <w:tblPrEx>
          <w:tblCellMar>
            <w:top w:w="0" w:type="dxa"/>
            <w:bottom w:w="0" w:type="dxa"/>
          </w:tblCellMar>
        </w:tblPrEx>
        <w:trPr>
          <w:cantSplit/>
          <w:trHeight w:val="560"/>
        </w:trPr>
        <w:tc>
          <w:tcPr>
            <w:tcW w:w="700" w:type="dxa"/>
            <w:tcMar>
              <w:top w:w="0" w:type="dxa"/>
              <w:bottom w:w="0" w:type="dxa"/>
            </w:tcMar>
            <w:vAlign w:val="center"/>
          </w:tcPr>
          <w:p w14:paraId="474B668D" w14:textId="77777777" w:rsidR="00A50D12" w:rsidRDefault="00A50D12">
            <w:pPr>
              <w:keepNext/>
              <w:keepLines/>
              <w:spacing w:after="0" w:line="240" w:lineRule="auto"/>
            </w:pPr>
          </w:p>
        </w:tc>
        <w:tc>
          <w:tcPr>
            <w:tcW w:w="3180" w:type="dxa"/>
            <w:tcMar>
              <w:top w:w="0" w:type="dxa"/>
              <w:bottom w:w="0" w:type="dxa"/>
            </w:tcMar>
            <w:vAlign w:val="center"/>
          </w:tcPr>
          <w:p w14:paraId="32AA0863" w14:textId="77777777" w:rsidR="00A50D12" w:rsidRDefault="00000000">
            <w:pPr>
              <w:keepNext/>
              <w:keepLines/>
              <w:spacing w:after="0" w:line="240" w:lineRule="auto"/>
            </w:pPr>
            <w:r>
              <w:rPr>
                <w:sz w:val="18"/>
              </w:rPr>
              <w:t>UKUPAN MANJAK PRIHODA (šifre Y034-X067)</w:t>
            </w:r>
          </w:p>
        </w:tc>
        <w:tc>
          <w:tcPr>
            <w:tcW w:w="700" w:type="dxa"/>
            <w:tcMar>
              <w:top w:w="0" w:type="dxa"/>
              <w:bottom w:w="0" w:type="dxa"/>
            </w:tcMar>
            <w:vAlign w:val="center"/>
          </w:tcPr>
          <w:p w14:paraId="40109DA6" w14:textId="77777777" w:rsidR="00A50D12" w:rsidRDefault="00000000">
            <w:pPr>
              <w:keepNext/>
              <w:keepLines/>
              <w:spacing w:after="0" w:line="240" w:lineRule="auto"/>
            </w:pPr>
            <w:r>
              <w:rPr>
                <w:sz w:val="18"/>
              </w:rPr>
              <w:t>Y004</w:t>
            </w:r>
          </w:p>
        </w:tc>
        <w:tc>
          <w:tcPr>
            <w:tcW w:w="1860" w:type="dxa"/>
            <w:tcMar>
              <w:top w:w="0" w:type="dxa"/>
              <w:bottom w:w="0" w:type="dxa"/>
            </w:tcMar>
            <w:vAlign w:val="center"/>
          </w:tcPr>
          <w:p w14:paraId="587CC16B" w14:textId="77777777" w:rsidR="00A50D12" w:rsidRDefault="00000000">
            <w:pPr>
              <w:keepNext/>
              <w:keepLines/>
              <w:spacing w:after="0" w:line="240" w:lineRule="auto"/>
              <w:jc w:val="right"/>
            </w:pPr>
            <w:r>
              <w:rPr>
                <w:sz w:val="18"/>
              </w:rPr>
              <w:t>0,00</w:t>
            </w:r>
          </w:p>
        </w:tc>
        <w:tc>
          <w:tcPr>
            <w:tcW w:w="1860" w:type="dxa"/>
            <w:tcMar>
              <w:top w:w="0" w:type="dxa"/>
              <w:bottom w:w="0" w:type="dxa"/>
            </w:tcMar>
            <w:vAlign w:val="center"/>
          </w:tcPr>
          <w:p w14:paraId="45151716" w14:textId="77777777" w:rsidR="00A50D12" w:rsidRDefault="00000000">
            <w:pPr>
              <w:keepNext/>
              <w:keepLines/>
              <w:spacing w:after="0" w:line="240" w:lineRule="auto"/>
              <w:jc w:val="right"/>
            </w:pPr>
            <w:r>
              <w:rPr>
                <w:sz w:val="18"/>
              </w:rPr>
              <w:t>237.504,13</w:t>
            </w:r>
          </w:p>
        </w:tc>
        <w:tc>
          <w:tcPr>
            <w:tcW w:w="700" w:type="dxa"/>
            <w:tcMar>
              <w:top w:w="0" w:type="dxa"/>
              <w:bottom w:w="0" w:type="dxa"/>
            </w:tcMar>
            <w:vAlign w:val="center"/>
          </w:tcPr>
          <w:p w14:paraId="55239270" w14:textId="77777777" w:rsidR="00A50D12" w:rsidRDefault="00000000">
            <w:pPr>
              <w:keepNext/>
              <w:keepLines/>
              <w:spacing w:after="0" w:line="240" w:lineRule="auto"/>
              <w:jc w:val="right"/>
            </w:pPr>
            <w:r>
              <w:rPr>
                <w:sz w:val="18"/>
              </w:rPr>
              <w:t>-</w:t>
            </w:r>
          </w:p>
        </w:tc>
      </w:tr>
    </w:tbl>
    <w:p w14:paraId="6760296A" w14:textId="77777777" w:rsidR="00A50D12" w:rsidRDefault="00A50D12">
      <w:pPr>
        <w:spacing w:after="0"/>
      </w:pPr>
    </w:p>
    <w:p w14:paraId="6F21C768" w14:textId="77777777" w:rsidR="00A50D12" w:rsidRDefault="00000000">
      <w:r>
        <w:t>U 2025. godini škola je iskazala manjak u ukupnom iznosu 237.504,13 € . Razlog iskazanog manjka su povećani troškovi nastali zbog ulaska škole u eksperimentalni program „Cjelodnevna škola“ ( zapošljavanje novi djelatnika, infrastrukturna prilagodba t.j dodatno ulaganje na građevinskim objektima, opremanje kuhinje ,učionica, stručna usavršavanja učitelja, stručnih suradnika, uvođenje izvanškolskih aktivnosti za djecu –  sklopljeni su ugovori sa udrugama za koje su djeca pokazala interes za izvanškolske aktivnosti, a uglavnom se radi o sportskim klubovima i udrugama koja djecu osposobljavaju), povećani su izdaci za plaće zaposlenika, a  u 2025. godini knjižen trošak 13. plaća novi Pravilnik o proračunskom računovodstvu.</w:t>
      </w:r>
    </w:p>
    <w:p w14:paraId="7DEBE34E" w14:textId="77777777" w:rsidR="00A50D12" w:rsidRDefault="00000000">
      <w:r>
        <w:t> </w:t>
      </w:r>
    </w:p>
    <w:p w14:paraId="5D7C115C" w14:textId="77777777" w:rsidR="00A50D12" w:rsidRDefault="00A50D12"/>
    <w:p w14:paraId="7BB2D128" w14:textId="77777777" w:rsidR="00A50D12"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1FE890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0EEA76"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457F51"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322715"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12369C" w14:textId="77777777" w:rsidR="00A50D1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C5BA51" w14:textId="77777777" w:rsidR="00A50D1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897F61" w14:textId="77777777" w:rsidR="00A50D12" w:rsidRDefault="00000000">
            <w:pPr>
              <w:keepNext/>
              <w:keepLines/>
              <w:spacing w:after="0" w:line="240" w:lineRule="auto"/>
              <w:jc w:val="center"/>
            </w:pPr>
            <w:r>
              <w:rPr>
                <w:b/>
                <w:sz w:val="18"/>
              </w:rPr>
              <w:t>Indeks (%)</w:t>
            </w:r>
          </w:p>
        </w:tc>
      </w:tr>
      <w:tr w:rsidR="00A50D12" w14:paraId="5B4E715C" w14:textId="77777777">
        <w:tblPrEx>
          <w:tblCellMar>
            <w:top w:w="0" w:type="dxa"/>
            <w:bottom w:w="0" w:type="dxa"/>
          </w:tblCellMar>
        </w:tblPrEx>
        <w:trPr>
          <w:cantSplit/>
          <w:trHeight w:val="560"/>
        </w:trPr>
        <w:tc>
          <w:tcPr>
            <w:tcW w:w="700" w:type="dxa"/>
            <w:tcMar>
              <w:top w:w="0" w:type="dxa"/>
              <w:bottom w:w="0" w:type="dxa"/>
            </w:tcMar>
            <w:vAlign w:val="center"/>
          </w:tcPr>
          <w:p w14:paraId="38078C98" w14:textId="77777777" w:rsidR="00A50D12" w:rsidRDefault="00000000">
            <w:pPr>
              <w:keepNext/>
              <w:keepLines/>
              <w:spacing w:after="0" w:line="240" w:lineRule="auto"/>
            </w:pPr>
            <w:r>
              <w:rPr>
                <w:sz w:val="18"/>
              </w:rPr>
              <w:t>9221x, 9222x</w:t>
            </w:r>
          </w:p>
        </w:tc>
        <w:tc>
          <w:tcPr>
            <w:tcW w:w="3180" w:type="dxa"/>
            <w:tcMar>
              <w:top w:w="0" w:type="dxa"/>
              <w:bottom w:w="0" w:type="dxa"/>
            </w:tcMar>
            <w:vAlign w:val="center"/>
          </w:tcPr>
          <w:p w14:paraId="14A97CB0" w14:textId="77777777" w:rsidR="00A50D12" w:rsidRDefault="00000000">
            <w:pPr>
              <w:keepNext/>
              <w:keepLines/>
              <w:spacing w:after="0" w:line="240" w:lineRule="auto"/>
            </w:pPr>
            <w:r>
              <w:rPr>
                <w:sz w:val="18"/>
              </w:rPr>
              <w:t>Višak prihoda - preneseni (šifre 92211+92212-92221-92222)</w:t>
            </w:r>
          </w:p>
        </w:tc>
        <w:tc>
          <w:tcPr>
            <w:tcW w:w="700" w:type="dxa"/>
            <w:tcMar>
              <w:top w:w="0" w:type="dxa"/>
              <w:bottom w:w="0" w:type="dxa"/>
            </w:tcMar>
            <w:vAlign w:val="center"/>
          </w:tcPr>
          <w:p w14:paraId="45211AC5" w14:textId="77777777" w:rsidR="00A50D12" w:rsidRDefault="00000000">
            <w:pPr>
              <w:keepNext/>
              <w:keepLines/>
              <w:spacing w:after="0" w:line="240" w:lineRule="auto"/>
            </w:pPr>
            <w:r>
              <w:rPr>
                <w:sz w:val="18"/>
              </w:rPr>
              <w:t>9221x,9222x VP</w:t>
            </w:r>
          </w:p>
        </w:tc>
        <w:tc>
          <w:tcPr>
            <w:tcW w:w="1860" w:type="dxa"/>
            <w:tcMar>
              <w:top w:w="0" w:type="dxa"/>
              <w:bottom w:w="0" w:type="dxa"/>
            </w:tcMar>
            <w:vAlign w:val="center"/>
          </w:tcPr>
          <w:p w14:paraId="220CBF33" w14:textId="77777777" w:rsidR="00A50D12" w:rsidRDefault="00000000">
            <w:pPr>
              <w:keepNext/>
              <w:keepLines/>
              <w:spacing w:after="0" w:line="240" w:lineRule="auto"/>
              <w:jc w:val="right"/>
            </w:pPr>
            <w:r>
              <w:rPr>
                <w:sz w:val="18"/>
              </w:rPr>
              <w:t>0,00</w:t>
            </w:r>
          </w:p>
        </w:tc>
        <w:tc>
          <w:tcPr>
            <w:tcW w:w="1860" w:type="dxa"/>
            <w:tcMar>
              <w:top w:w="0" w:type="dxa"/>
              <w:bottom w:w="0" w:type="dxa"/>
            </w:tcMar>
            <w:vAlign w:val="center"/>
          </w:tcPr>
          <w:p w14:paraId="5E0FD3E1" w14:textId="77777777" w:rsidR="00A50D12" w:rsidRDefault="00000000">
            <w:pPr>
              <w:keepNext/>
              <w:keepLines/>
              <w:spacing w:after="0" w:line="240" w:lineRule="auto"/>
              <w:jc w:val="right"/>
            </w:pPr>
            <w:r>
              <w:rPr>
                <w:sz w:val="18"/>
              </w:rPr>
              <w:t>31.613,26</w:t>
            </w:r>
          </w:p>
        </w:tc>
        <w:tc>
          <w:tcPr>
            <w:tcW w:w="700" w:type="dxa"/>
            <w:tcMar>
              <w:top w:w="0" w:type="dxa"/>
              <w:bottom w:w="0" w:type="dxa"/>
            </w:tcMar>
            <w:vAlign w:val="center"/>
          </w:tcPr>
          <w:p w14:paraId="20403C1A" w14:textId="77777777" w:rsidR="00A50D12" w:rsidRDefault="00000000">
            <w:pPr>
              <w:keepNext/>
              <w:keepLines/>
              <w:spacing w:after="0" w:line="240" w:lineRule="auto"/>
              <w:jc w:val="right"/>
            </w:pPr>
            <w:r>
              <w:rPr>
                <w:sz w:val="18"/>
              </w:rPr>
              <w:t>-</w:t>
            </w:r>
          </w:p>
        </w:tc>
      </w:tr>
    </w:tbl>
    <w:p w14:paraId="6B5FADF0" w14:textId="77777777" w:rsidR="00A50D12" w:rsidRDefault="00A50D12">
      <w:pPr>
        <w:spacing w:after="0"/>
      </w:pPr>
    </w:p>
    <w:p w14:paraId="50A0B005" w14:textId="77777777" w:rsidR="00A50D12" w:rsidRDefault="00000000">
      <w:r>
        <w:t>Preneseni višak prihoda iznosi 31.613,26 €.</w:t>
      </w:r>
    </w:p>
    <w:p w14:paraId="3F8D95F2" w14:textId="77777777" w:rsidR="00A50D12" w:rsidRDefault="00A50D12"/>
    <w:p w14:paraId="35BE2E7F" w14:textId="77777777" w:rsidR="00A50D12"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7DAC21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0A7FD9"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D78D23"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4E415E"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2EA231" w14:textId="77777777" w:rsidR="00A50D1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111323" w14:textId="77777777" w:rsidR="00A50D1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17D752" w14:textId="77777777" w:rsidR="00A50D12" w:rsidRDefault="00000000">
            <w:pPr>
              <w:keepNext/>
              <w:keepLines/>
              <w:spacing w:after="0" w:line="240" w:lineRule="auto"/>
              <w:jc w:val="center"/>
            </w:pPr>
            <w:r>
              <w:rPr>
                <w:b/>
                <w:sz w:val="18"/>
              </w:rPr>
              <w:t>Indeks (%)</w:t>
            </w:r>
          </w:p>
        </w:tc>
      </w:tr>
      <w:tr w:rsidR="00A50D12" w14:paraId="3C42435F" w14:textId="77777777">
        <w:tblPrEx>
          <w:tblCellMar>
            <w:top w:w="0" w:type="dxa"/>
            <w:bottom w:w="0" w:type="dxa"/>
          </w:tblCellMar>
        </w:tblPrEx>
        <w:trPr>
          <w:cantSplit/>
          <w:trHeight w:val="560"/>
        </w:trPr>
        <w:tc>
          <w:tcPr>
            <w:tcW w:w="700" w:type="dxa"/>
            <w:tcMar>
              <w:top w:w="0" w:type="dxa"/>
              <w:bottom w:w="0" w:type="dxa"/>
            </w:tcMar>
            <w:vAlign w:val="center"/>
          </w:tcPr>
          <w:p w14:paraId="4F95EA14" w14:textId="77777777" w:rsidR="00A50D12" w:rsidRDefault="00000000">
            <w:pPr>
              <w:keepNext/>
              <w:keepLines/>
              <w:spacing w:after="0" w:line="240" w:lineRule="auto"/>
            </w:pPr>
            <w:r>
              <w:rPr>
                <w:sz w:val="18"/>
              </w:rPr>
              <w:t>11</w:t>
            </w:r>
          </w:p>
        </w:tc>
        <w:tc>
          <w:tcPr>
            <w:tcW w:w="3180" w:type="dxa"/>
            <w:tcMar>
              <w:top w:w="0" w:type="dxa"/>
              <w:bottom w:w="0" w:type="dxa"/>
            </w:tcMar>
            <w:vAlign w:val="center"/>
          </w:tcPr>
          <w:p w14:paraId="4541EC7D" w14:textId="77777777" w:rsidR="00A50D12"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0D1A4E7B" w14:textId="77777777" w:rsidR="00A50D12" w:rsidRDefault="00000000">
            <w:pPr>
              <w:keepNext/>
              <w:keepLines/>
              <w:spacing w:after="0" w:line="240" w:lineRule="auto"/>
            </w:pPr>
            <w:r>
              <w:rPr>
                <w:sz w:val="18"/>
              </w:rPr>
              <w:t>11K</w:t>
            </w:r>
          </w:p>
        </w:tc>
        <w:tc>
          <w:tcPr>
            <w:tcW w:w="1860" w:type="dxa"/>
            <w:tcMar>
              <w:top w:w="0" w:type="dxa"/>
              <w:bottom w:w="0" w:type="dxa"/>
            </w:tcMar>
            <w:vAlign w:val="center"/>
          </w:tcPr>
          <w:p w14:paraId="45417AB5" w14:textId="77777777" w:rsidR="00A50D12" w:rsidRDefault="00000000">
            <w:pPr>
              <w:keepNext/>
              <w:keepLines/>
              <w:spacing w:after="0" w:line="240" w:lineRule="auto"/>
              <w:jc w:val="right"/>
            </w:pPr>
            <w:r>
              <w:rPr>
                <w:sz w:val="18"/>
              </w:rPr>
              <w:t>87.554,77</w:t>
            </w:r>
          </w:p>
        </w:tc>
        <w:tc>
          <w:tcPr>
            <w:tcW w:w="1860" w:type="dxa"/>
            <w:tcMar>
              <w:top w:w="0" w:type="dxa"/>
              <w:bottom w:w="0" w:type="dxa"/>
            </w:tcMar>
            <w:vAlign w:val="center"/>
          </w:tcPr>
          <w:p w14:paraId="7C0D4A2A" w14:textId="77777777" w:rsidR="00A50D12" w:rsidRDefault="00000000">
            <w:pPr>
              <w:keepNext/>
              <w:keepLines/>
              <w:spacing w:after="0" w:line="240" w:lineRule="auto"/>
              <w:jc w:val="right"/>
            </w:pPr>
            <w:r>
              <w:rPr>
                <w:sz w:val="18"/>
              </w:rPr>
              <w:t>27.575,86</w:t>
            </w:r>
          </w:p>
        </w:tc>
        <w:tc>
          <w:tcPr>
            <w:tcW w:w="700" w:type="dxa"/>
            <w:tcMar>
              <w:top w:w="0" w:type="dxa"/>
              <w:bottom w:w="0" w:type="dxa"/>
            </w:tcMar>
            <w:vAlign w:val="center"/>
          </w:tcPr>
          <w:p w14:paraId="24E33A5A" w14:textId="77777777" w:rsidR="00A50D12" w:rsidRDefault="00000000">
            <w:pPr>
              <w:keepNext/>
              <w:keepLines/>
              <w:spacing w:after="0" w:line="240" w:lineRule="auto"/>
              <w:jc w:val="right"/>
            </w:pPr>
            <w:r>
              <w:rPr>
                <w:sz w:val="18"/>
              </w:rPr>
              <w:t>31,5</w:t>
            </w:r>
          </w:p>
        </w:tc>
      </w:tr>
    </w:tbl>
    <w:p w14:paraId="551F6196" w14:textId="77777777" w:rsidR="00A50D12" w:rsidRDefault="00A50D12">
      <w:pPr>
        <w:spacing w:after="0"/>
      </w:pPr>
    </w:p>
    <w:p w14:paraId="2FEF9BAC" w14:textId="77777777" w:rsidR="00A50D12" w:rsidRDefault="00000000">
      <w:r>
        <w:t>Stanje novčanih sredstava na kraju izvještajnog razdoblja iznosi 27.575,86 € što je za 68,5% manje u odnosu na isto razdoblje prethodne godine. Navedena sredstva se odnose na vlastite prihode, prihod od projekta Biomozaik krš i more u kojem je naša škola sudjelovala kao partner, prihod za operativne troškove, prihod za provođenje B1 aktivnosti te prihod od darovnica.</w:t>
      </w:r>
    </w:p>
    <w:p w14:paraId="1633E9B5" w14:textId="77777777" w:rsidR="00A50D12" w:rsidRDefault="00000000">
      <w:r>
        <w:t> </w:t>
      </w:r>
    </w:p>
    <w:p w14:paraId="60997E86" w14:textId="77777777" w:rsidR="00A50D12" w:rsidRDefault="00A50D12"/>
    <w:p w14:paraId="7B97B63D" w14:textId="77777777" w:rsidR="00A50D12" w:rsidRDefault="00000000">
      <w:pPr>
        <w:keepNext/>
        <w:spacing w:line="240" w:lineRule="auto"/>
        <w:jc w:val="center"/>
      </w:pPr>
      <w:r>
        <w:rPr>
          <w:b/>
          <w:sz w:val="28"/>
        </w:rPr>
        <w:t>Bilanca</w:t>
      </w:r>
    </w:p>
    <w:p w14:paraId="06374105" w14:textId="77777777" w:rsidR="00A50D12"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316DE9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C5FDDD"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A8BEBC"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A9F5A8"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421330" w14:textId="77777777" w:rsidR="00A50D1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E6D427" w14:textId="77777777" w:rsidR="00A50D1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465D374" w14:textId="77777777" w:rsidR="00A50D12" w:rsidRDefault="00000000">
            <w:pPr>
              <w:keepNext/>
              <w:keepLines/>
              <w:spacing w:after="0" w:line="240" w:lineRule="auto"/>
              <w:jc w:val="center"/>
            </w:pPr>
            <w:r>
              <w:rPr>
                <w:b/>
                <w:sz w:val="18"/>
              </w:rPr>
              <w:t>Indeks (%)</w:t>
            </w:r>
          </w:p>
        </w:tc>
      </w:tr>
      <w:tr w:rsidR="00A50D12" w14:paraId="4EE2B23A" w14:textId="77777777">
        <w:tblPrEx>
          <w:tblCellMar>
            <w:top w:w="0" w:type="dxa"/>
            <w:bottom w:w="0" w:type="dxa"/>
          </w:tblCellMar>
        </w:tblPrEx>
        <w:trPr>
          <w:cantSplit/>
          <w:trHeight w:val="560"/>
        </w:trPr>
        <w:tc>
          <w:tcPr>
            <w:tcW w:w="700" w:type="dxa"/>
            <w:tcMar>
              <w:top w:w="0" w:type="dxa"/>
              <w:bottom w:w="0" w:type="dxa"/>
            </w:tcMar>
            <w:vAlign w:val="center"/>
          </w:tcPr>
          <w:p w14:paraId="60A67D79" w14:textId="77777777" w:rsidR="00A50D12" w:rsidRDefault="00A50D12">
            <w:pPr>
              <w:keepNext/>
              <w:keepLines/>
              <w:spacing w:after="0" w:line="240" w:lineRule="auto"/>
            </w:pPr>
          </w:p>
        </w:tc>
        <w:tc>
          <w:tcPr>
            <w:tcW w:w="3180" w:type="dxa"/>
            <w:tcMar>
              <w:top w:w="0" w:type="dxa"/>
              <w:bottom w:w="0" w:type="dxa"/>
            </w:tcMar>
            <w:vAlign w:val="center"/>
          </w:tcPr>
          <w:p w14:paraId="6E287953" w14:textId="77777777" w:rsidR="00A50D12" w:rsidRDefault="00000000">
            <w:pPr>
              <w:keepNext/>
              <w:keepLines/>
              <w:spacing w:after="0" w:line="240" w:lineRule="auto"/>
            </w:pPr>
            <w:r>
              <w:rPr>
                <w:sz w:val="18"/>
              </w:rPr>
              <w:t>IMOVINA (šifre B002+1)</w:t>
            </w:r>
          </w:p>
        </w:tc>
        <w:tc>
          <w:tcPr>
            <w:tcW w:w="700" w:type="dxa"/>
            <w:tcMar>
              <w:top w:w="0" w:type="dxa"/>
              <w:bottom w:w="0" w:type="dxa"/>
            </w:tcMar>
            <w:vAlign w:val="center"/>
          </w:tcPr>
          <w:p w14:paraId="21C35459" w14:textId="77777777" w:rsidR="00A50D12" w:rsidRDefault="00000000">
            <w:pPr>
              <w:keepNext/>
              <w:keepLines/>
              <w:spacing w:after="0" w:line="240" w:lineRule="auto"/>
            </w:pPr>
            <w:r>
              <w:rPr>
                <w:sz w:val="18"/>
              </w:rPr>
              <w:t>B001</w:t>
            </w:r>
          </w:p>
        </w:tc>
        <w:tc>
          <w:tcPr>
            <w:tcW w:w="1860" w:type="dxa"/>
            <w:tcMar>
              <w:top w:w="0" w:type="dxa"/>
              <w:bottom w:w="0" w:type="dxa"/>
            </w:tcMar>
            <w:vAlign w:val="center"/>
          </w:tcPr>
          <w:p w14:paraId="5D87A316" w14:textId="77777777" w:rsidR="00A50D12" w:rsidRDefault="00000000">
            <w:pPr>
              <w:keepNext/>
              <w:keepLines/>
              <w:spacing w:after="0" w:line="240" w:lineRule="auto"/>
              <w:jc w:val="right"/>
            </w:pPr>
            <w:r>
              <w:rPr>
                <w:sz w:val="18"/>
              </w:rPr>
              <w:t>1.284.959,17</w:t>
            </w:r>
          </w:p>
        </w:tc>
        <w:tc>
          <w:tcPr>
            <w:tcW w:w="1860" w:type="dxa"/>
            <w:tcMar>
              <w:top w:w="0" w:type="dxa"/>
              <w:bottom w:w="0" w:type="dxa"/>
            </w:tcMar>
            <w:vAlign w:val="center"/>
          </w:tcPr>
          <w:p w14:paraId="37886B25" w14:textId="77777777" w:rsidR="00A50D12" w:rsidRDefault="00000000">
            <w:pPr>
              <w:keepNext/>
              <w:keepLines/>
              <w:spacing w:after="0" w:line="240" w:lineRule="auto"/>
              <w:jc w:val="right"/>
            </w:pPr>
            <w:r>
              <w:rPr>
                <w:sz w:val="18"/>
              </w:rPr>
              <w:t>1.934.564,00</w:t>
            </w:r>
          </w:p>
        </w:tc>
        <w:tc>
          <w:tcPr>
            <w:tcW w:w="700" w:type="dxa"/>
            <w:tcMar>
              <w:top w:w="0" w:type="dxa"/>
              <w:bottom w:w="0" w:type="dxa"/>
            </w:tcMar>
            <w:vAlign w:val="center"/>
          </w:tcPr>
          <w:p w14:paraId="0783305A" w14:textId="77777777" w:rsidR="00A50D12" w:rsidRDefault="00000000">
            <w:pPr>
              <w:keepNext/>
              <w:keepLines/>
              <w:spacing w:after="0" w:line="240" w:lineRule="auto"/>
              <w:jc w:val="right"/>
            </w:pPr>
            <w:r>
              <w:rPr>
                <w:sz w:val="18"/>
              </w:rPr>
              <w:t>150,6</w:t>
            </w:r>
          </w:p>
        </w:tc>
      </w:tr>
    </w:tbl>
    <w:p w14:paraId="69DC4A7D" w14:textId="77777777" w:rsidR="00A50D12" w:rsidRDefault="00A50D12">
      <w:pPr>
        <w:spacing w:after="0"/>
      </w:pPr>
    </w:p>
    <w:p w14:paraId="43227B12" w14:textId="77777777" w:rsidR="00A50D12" w:rsidRDefault="00000000">
      <w:r>
        <w:t>Škola je od nastavne godine 2023./2024. ušla u eksperimentalni program „Cjelodnevna škola.- Nacionalna razvojna strategija Republike Hrvatske do 2030. godine. Radi dodatnih ulaganja na građevinskim objektima, nabavka opreme za učionice i kuhinju, povećana je vrijednost dugotrajne imovine. Napravljen je ispravak dugotrajne imovine, a to je sve rezultiralo povećanjem obujma i vrijednosti dugotrajne imovine.</w:t>
      </w:r>
    </w:p>
    <w:p w14:paraId="1CD83D54" w14:textId="77777777" w:rsidR="00A50D12" w:rsidRDefault="00A50D12"/>
    <w:p w14:paraId="2EB5868D" w14:textId="77777777" w:rsidR="00A50D12"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614A4B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F78A32"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7D51C5"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B6AF7D"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76F560" w14:textId="77777777" w:rsidR="00A50D12"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B028BC" w14:textId="77777777" w:rsidR="00A50D12"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178B5D" w14:textId="77777777" w:rsidR="00A50D12" w:rsidRDefault="00000000">
            <w:pPr>
              <w:keepNext/>
              <w:keepLines/>
              <w:spacing w:after="0" w:line="240" w:lineRule="auto"/>
              <w:jc w:val="center"/>
            </w:pPr>
            <w:r>
              <w:rPr>
                <w:b/>
                <w:sz w:val="18"/>
              </w:rPr>
              <w:t>Indeks (%)</w:t>
            </w:r>
          </w:p>
        </w:tc>
      </w:tr>
      <w:tr w:rsidR="00A50D12" w14:paraId="30275149" w14:textId="77777777">
        <w:tblPrEx>
          <w:tblCellMar>
            <w:top w:w="0" w:type="dxa"/>
            <w:bottom w:w="0" w:type="dxa"/>
          </w:tblCellMar>
        </w:tblPrEx>
        <w:trPr>
          <w:cantSplit/>
          <w:trHeight w:val="560"/>
        </w:trPr>
        <w:tc>
          <w:tcPr>
            <w:tcW w:w="700" w:type="dxa"/>
            <w:tcMar>
              <w:top w:w="0" w:type="dxa"/>
              <w:bottom w:w="0" w:type="dxa"/>
            </w:tcMar>
            <w:vAlign w:val="center"/>
          </w:tcPr>
          <w:p w14:paraId="7A32AF66" w14:textId="77777777" w:rsidR="00A50D12" w:rsidRDefault="00000000">
            <w:pPr>
              <w:keepNext/>
              <w:keepLines/>
              <w:spacing w:after="0" w:line="240" w:lineRule="auto"/>
            </w:pPr>
            <w:r>
              <w:rPr>
                <w:sz w:val="18"/>
              </w:rPr>
              <w:t>922</w:t>
            </w:r>
          </w:p>
        </w:tc>
        <w:tc>
          <w:tcPr>
            <w:tcW w:w="3180" w:type="dxa"/>
            <w:tcMar>
              <w:top w:w="0" w:type="dxa"/>
              <w:bottom w:w="0" w:type="dxa"/>
            </w:tcMar>
            <w:vAlign w:val="center"/>
          </w:tcPr>
          <w:p w14:paraId="057FC2C9" w14:textId="77777777" w:rsidR="00A50D12"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11604DB3" w14:textId="77777777" w:rsidR="00A50D12" w:rsidRDefault="00000000">
            <w:pPr>
              <w:keepNext/>
              <w:keepLines/>
              <w:spacing w:after="0" w:line="240" w:lineRule="auto"/>
            </w:pPr>
            <w:r>
              <w:rPr>
                <w:sz w:val="18"/>
              </w:rPr>
              <w:t>922</w:t>
            </w:r>
          </w:p>
        </w:tc>
        <w:tc>
          <w:tcPr>
            <w:tcW w:w="1860" w:type="dxa"/>
            <w:tcMar>
              <w:top w:w="0" w:type="dxa"/>
              <w:bottom w:w="0" w:type="dxa"/>
            </w:tcMar>
            <w:vAlign w:val="center"/>
          </w:tcPr>
          <w:p w14:paraId="369173BE" w14:textId="77777777" w:rsidR="00A50D12" w:rsidRDefault="00000000">
            <w:pPr>
              <w:keepNext/>
              <w:keepLines/>
              <w:spacing w:after="0" w:line="240" w:lineRule="auto"/>
              <w:jc w:val="right"/>
            </w:pPr>
            <w:r>
              <w:rPr>
                <w:sz w:val="18"/>
              </w:rPr>
              <w:t>35.628,25</w:t>
            </w:r>
          </w:p>
        </w:tc>
        <w:tc>
          <w:tcPr>
            <w:tcW w:w="1860" w:type="dxa"/>
            <w:tcMar>
              <w:top w:w="0" w:type="dxa"/>
              <w:bottom w:w="0" w:type="dxa"/>
            </w:tcMar>
            <w:vAlign w:val="center"/>
          </w:tcPr>
          <w:p w14:paraId="0511FDD8" w14:textId="77777777" w:rsidR="00A50D12" w:rsidRDefault="00000000">
            <w:pPr>
              <w:keepNext/>
              <w:keepLines/>
              <w:spacing w:after="0" w:line="240" w:lineRule="auto"/>
              <w:jc w:val="right"/>
            </w:pPr>
            <w:r>
              <w:rPr>
                <w:sz w:val="18"/>
              </w:rPr>
              <w:t>-205.890,87</w:t>
            </w:r>
          </w:p>
        </w:tc>
        <w:tc>
          <w:tcPr>
            <w:tcW w:w="700" w:type="dxa"/>
            <w:tcMar>
              <w:top w:w="0" w:type="dxa"/>
              <w:bottom w:w="0" w:type="dxa"/>
            </w:tcMar>
            <w:vAlign w:val="center"/>
          </w:tcPr>
          <w:p w14:paraId="1E43F554" w14:textId="77777777" w:rsidR="00A50D12" w:rsidRDefault="00000000">
            <w:pPr>
              <w:keepNext/>
              <w:keepLines/>
              <w:spacing w:after="0" w:line="240" w:lineRule="auto"/>
              <w:jc w:val="right"/>
            </w:pPr>
            <w:r>
              <w:rPr>
                <w:sz w:val="18"/>
              </w:rPr>
              <w:t>-577,9</w:t>
            </w:r>
          </w:p>
        </w:tc>
      </w:tr>
    </w:tbl>
    <w:p w14:paraId="6F663914" w14:textId="77777777" w:rsidR="00A50D12" w:rsidRDefault="00A50D12">
      <w:pPr>
        <w:spacing w:after="0"/>
      </w:pPr>
    </w:p>
    <w:p w14:paraId="3FA8B31F" w14:textId="77777777" w:rsidR="00A50D12" w:rsidRDefault="00000000">
      <w:r>
        <w:t xml:space="preserve">U 2025. godini škola je iskazala manjak u ukupnom iznosu 205.890,87 € ( šifra 922). Razlog iskazanog manjka su povećani troškovi nastali zbog ulaska škole u eksperimentalni program „Cjelodnevna škola“ ( zapošljavanje novi djelatnika, infrastrukturna prilagodba tj. dodatno ulaganje na građevinskim objektima, opremanje kuhinje, učionica, stručna usavršavanja učitelja, stručnih suradnika, uvođenje izvanškolskih aktivnosti za djecu – te su sklopljeni ugovori sa klubovima i udrugama za koje su djeca pokazala interes, koja djecu </w:t>
      </w:r>
      <w:r>
        <w:lastRenderedPageBreak/>
        <w:t>osposobljavaju, nabava vozila za prijevoz djece), povećani su izdaci za plaće zaposlenika, a  u 2025. godini knjižen trošak 13. plaća novi Pravilnik o proračunskom računovodstvu.</w:t>
      </w:r>
    </w:p>
    <w:p w14:paraId="45EC73AB" w14:textId="77777777" w:rsidR="00A50D12" w:rsidRDefault="00000000">
      <w:r>
        <w:t> </w:t>
      </w:r>
    </w:p>
    <w:p w14:paraId="1B1E44EF" w14:textId="77777777" w:rsidR="00A50D12" w:rsidRDefault="00A50D12"/>
    <w:p w14:paraId="7347482F" w14:textId="77777777" w:rsidR="00A50D12" w:rsidRDefault="00000000">
      <w:pPr>
        <w:keepNext/>
        <w:spacing w:line="240" w:lineRule="auto"/>
        <w:jc w:val="center"/>
      </w:pPr>
      <w:r>
        <w:rPr>
          <w:b/>
          <w:sz w:val="28"/>
        </w:rPr>
        <w:t>Izvještaj o rashodima prema funkcijskoj klasifikaciji</w:t>
      </w:r>
    </w:p>
    <w:p w14:paraId="10A9183B" w14:textId="77777777" w:rsidR="00A50D12"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117F42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134B4D"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3CA7D4"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FF6E92"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41A8F0" w14:textId="77777777" w:rsidR="00A50D1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FAC71E" w14:textId="77777777" w:rsidR="00A50D1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B5B21F" w14:textId="77777777" w:rsidR="00A50D12" w:rsidRDefault="00000000">
            <w:pPr>
              <w:keepNext/>
              <w:keepLines/>
              <w:spacing w:after="0" w:line="240" w:lineRule="auto"/>
              <w:jc w:val="center"/>
            </w:pPr>
            <w:r>
              <w:rPr>
                <w:b/>
                <w:sz w:val="18"/>
              </w:rPr>
              <w:t>Indeks (%)</w:t>
            </w:r>
          </w:p>
        </w:tc>
      </w:tr>
      <w:tr w:rsidR="00A50D12" w14:paraId="19F91B3F" w14:textId="77777777">
        <w:tblPrEx>
          <w:tblCellMar>
            <w:top w:w="0" w:type="dxa"/>
            <w:bottom w:w="0" w:type="dxa"/>
          </w:tblCellMar>
        </w:tblPrEx>
        <w:trPr>
          <w:cantSplit/>
          <w:trHeight w:val="560"/>
        </w:trPr>
        <w:tc>
          <w:tcPr>
            <w:tcW w:w="700" w:type="dxa"/>
            <w:tcMar>
              <w:top w:w="0" w:type="dxa"/>
              <w:bottom w:w="0" w:type="dxa"/>
            </w:tcMar>
            <w:vAlign w:val="center"/>
          </w:tcPr>
          <w:p w14:paraId="5A27106D" w14:textId="77777777" w:rsidR="00A50D12" w:rsidRDefault="00000000">
            <w:pPr>
              <w:keepNext/>
              <w:keepLines/>
              <w:spacing w:after="0" w:line="240" w:lineRule="auto"/>
            </w:pPr>
            <w:r>
              <w:rPr>
                <w:sz w:val="18"/>
              </w:rPr>
              <w:t>09</w:t>
            </w:r>
          </w:p>
        </w:tc>
        <w:tc>
          <w:tcPr>
            <w:tcW w:w="3180" w:type="dxa"/>
            <w:tcMar>
              <w:top w:w="0" w:type="dxa"/>
              <w:bottom w:w="0" w:type="dxa"/>
            </w:tcMar>
            <w:vAlign w:val="center"/>
          </w:tcPr>
          <w:p w14:paraId="27ADFCF7" w14:textId="77777777" w:rsidR="00A50D12" w:rsidRDefault="00000000">
            <w:pPr>
              <w:keepNext/>
              <w:keepLines/>
              <w:spacing w:after="0" w:line="240" w:lineRule="auto"/>
            </w:pPr>
            <w:r>
              <w:rPr>
                <w:sz w:val="18"/>
              </w:rPr>
              <w:t>Obrazovanje (šifre 091+092+093+094+095+096+097+098)</w:t>
            </w:r>
          </w:p>
        </w:tc>
        <w:tc>
          <w:tcPr>
            <w:tcW w:w="700" w:type="dxa"/>
            <w:tcMar>
              <w:top w:w="0" w:type="dxa"/>
              <w:bottom w:w="0" w:type="dxa"/>
            </w:tcMar>
            <w:vAlign w:val="center"/>
          </w:tcPr>
          <w:p w14:paraId="58CE61A0" w14:textId="77777777" w:rsidR="00A50D12" w:rsidRDefault="00000000">
            <w:pPr>
              <w:keepNext/>
              <w:keepLines/>
              <w:spacing w:after="0" w:line="240" w:lineRule="auto"/>
            </w:pPr>
            <w:r>
              <w:rPr>
                <w:sz w:val="18"/>
              </w:rPr>
              <w:t>09</w:t>
            </w:r>
          </w:p>
        </w:tc>
        <w:tc>
          <w:tcPr>
            <w:tcW w:w="1860" w:type="dxa"/>
            <w:tcMar>
              <w:top w:w="0" w:type="dxa"/>
              <w:bottom w:w="0" w:type="dxa"/>
            </w:tcMar>
            <w:vAlign w:val="center"/>
          </w:tcPr>
          <w:p w14:paraId="0084256C" w14:textId="77777777" w:rsidR="00A50D12" w:rsidRDefault="00000000">
            <w:pPr>
              <w:keepNext/>
              <w:keepLines/>
              <w:spacing w:after="0" w:line="240" w:lineRule="auto"/>
              <w:jc w:val="right"/>
            </w:pPr>
            <w:r>
              <w:rPr>
                <w:sz w:val="18"/>
              </w:rPr>
              <w:t>2.110.141,50</w:t>
            </w:r>
          </w:p>
        </w:tc>
        <w:tc>
          <w:tcPr>
            <w:tcW w:w="1860" w:type="dxa"/>
            <w:tcMar>
              <w:top w:w="0" w:type="dxa"/>
              <w:bottom w:w="0" w:type="dxa"/>
            </w:tcMar>
            <w:vAlign w:val="center"/>
          </w:tcPr>
          <w:p w14:paraId="689C6218" w14:textId="77777777" w:rsidR="00A50D12" w:rsidRDefault="00000000">
            <w:pPr>
              <w:keepNext/>
              <w:keepLines/>
              <w:spacing w:after="0" w:line="240" w:lineRule="auto"/>
              <w:jc w:val="right"/>
            </w:pPr>
            <w:r>
              <w:rPr>
                <w:sz w:val="18"/>
              </w:rPr>
              <w:t>3.295.311,35</w:t>
            </w:r>
          </w:p>
        </w:tc>
        <w:tc>
          <w:tcPr>
            <w:tcW w:w="700" w:type="dxa"/>
            <w:tcMar>
              <w:top w:w="0" w:type="dxa"/>
              <w:bottom w:w="0" w:type="dxa"/>
            </w:tcMar>
            <w:vAlign w:val="center"/>
          </w:tcPr>
          <w:p w14:paraId="526C25F5" w14:textId="77777777" w:rsidR="00A50D12" w:rsidRDefault="00000000">
            <w:pPr>
              <w:keepNext/>
              <w:keepLines/>
              <w:spacing w:after="0" w:line="240" w:lineRule="auto"/>
              <w:jc w:val="right"/>
            </w:pPr>
            <w:r>
              <w:rPr>
                <w:sz w:val="18"/>
              </w:rPr>
              <w:t>156,2</w:t>
            </w:r>
          </w:p>
        </w:tc>
      </w:tr>
    </w:tbl>
    <w:p w14:paraId="0497014E" w14:textId="77777777" w:rsidR="00A50D12" w:rsidRDefault="00A50D12">
      <w:pPr>
        <w:spacing w:after="0"/>
      </w:pPr>
    </w:p>
    <w:p w14:paraId="3019B067" w14:textId="77777777" w:rsidR="00A50D12" w:rsidRDefault="00000000">
      <w:r>
        <w:t>Svi rashodi ostvareni u 2025. godini  iskazani su na kontu 09-Obrazovanje.</w:t>
      </w:r>
    </w:p>
    <w:p w14:paraId="6491398E" w14:textId="77777777" w:rsidR="00A50D12" w:rsidRDefault="00A50D12"/>
    <w:p w14:paraId="3259EA22" w14:textId="77777777" w:rsidR="00A50D12"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7D17ED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77E342"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562AB4"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B0F90F"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4F7ABB" w14:textId="77777777" w:rsidR="00A50D1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24404F" w14:textId="77777777" w:rsidR="00A50D1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C3F196" w14:textId="77777777" w:rsidR="00A50D12" w:rsidRDefault="00000000">
            <w:pPr>
              <w:keepNext/>
              <w:keepLines/>
              <w:spacing w:after="0" w:line="240" w:lineRule="auto"/>
              <w:jc w:val="center"/>
            </w:pPr>
            <w:r>
              <w:rPr>
                <w:b/>
                <w:sz w:val="18"/>
              </w:rPr>
              <w:t>Indeks (%)</w:t>
            </w:r>
          </w:p>
        </w:tc>
      </w:tr>
      <w:tr w:rsidR="00A50D12" w14:paraId="18AE4F4B" w14:textId="77777777">
        <w:tblPrEx>
          <w:tblCellMar>
            <w:top w:w="0" w:type="dxa"/>
            <w:bottom w:w="0" w:type="dxa"/>
          </w:tblCellMar>
        </w:tblPrEx>
        <w:trPr>
          <w:cantSplit/>
          <w:trHeight w:val="560"/>
        </w:trPr>
        <w:tc>
          <w:tcPr>
            <w:tcW w:w="700" w:type="dxa"/>
            <w:tcMar>
              <w:top w:w="0" w:type="dxa"/>
              <w:bottom w:w="0" w:type="dxa"/>
            </w:tcMar>
            <w:vAlign w:val="center"/>
          </w:tcPr>
          <w:p w14:paraId="1A1215B3" w14:textId="77777777" w:rsidR="00A50D12" w:rsidRDefault="00000000">
            <w:pPr>
              <w:keepNext/>
              <w:keepLines/>
              <w:spacing w:after="0" w:line="240" w:lineRule="auto"/>
            </w:pPr>
            <w:r>
              <w:rPr>
                <w:sz w:val="18"/>
              </w:rPr>
              <w:t>096</w:t>
            </w:r>
          </w:p>
        </w:tc>
        <w:tc>
          <w:tcPr>
            <w:tcW w:w="3180" w:type="dxa"/>
            <w:tcMar>
              <w:top w:w="0" w:type="dxa"/>
              <w:bottom w:w="0" w:type="dxa"/>
            </w:tcMar>
            <w:vAlign w:val="center"/>
          </w:tcPr>
          <w:p w14:paraId="42D72136" w14:textId="77777777" w:rsidR="00A50D12" w:rsidRDefault="00000000">
            <w:pPr>
              <w:keepNext/>
              <w:keepLines/>
              <w:spacing w:after="0" w:line="240" w:lineRule="auto"/>
            </w:pPr>
            <w:r>
              <w:rPr>
                <w:sz w:val="18"/>
              </w:rPr>
              <w:t>Dodatne usluge u obrazovanju</w:t>
            </w:r>
          </w:p>
        </w:tc>
        <w:tc>
          <w:tcPr>
            <w:tcW w:w="700" w:type="dxa"/>
            <w:tcMar>
              <w:top w:w="0" w:type="dxa"/>
              <w:bottom w:w="0" w:type="dxa"/>
            </w:tcMar>
            <w:vAlign w:val="center"/>
          </w:tcPr>
          <w:p w14:paraId="5221DC66" w14:textId="77777777" w:rsidR="00A50D12" w:rsidRDefault="00000000">
            <w:pPr>
              <w:keepNext/>
              <w:keepLines/>
              <w:spacing w:after="0" w:line="240" w:lineRule="auto"/>
            </w:pPr>
            <w:r>
              <w:rPr>
                <w:sz w:val="18"/>
              </w:rPr>
              <w:t>096</w:t>
            </w:r>
          </w:p>
        </w:tc>
        <w:tc>
          <w:tcPr>
            <w:tcW w:w="1860" w:type="dxa"/>
            <w:tcMar>
              <w:top w:w="0" w:type="dxa"/>
              <w:bottom w:w="0" w:type="dxa"/>
            </w:tcMar>
            <w:vAlign w:val="center"/>
          </w:tcPr>
          <w:p w14:paraId="78110F57" w14:textId="77777777" w:rsidR="00A50D12" w:rsidRDefault="00000000">
            <w:pPr>
              <w:keepNext/>
              <w:keepLines/>
              <w:spacing w:after="0" w:line="240" w:lineRule="auto"/>
              <w:jc w:val="right"/>
            </w:pPr>
            <w:r>
              <w:rPr>
                <w:sz w:val="18"/>
              </w:rPr>
              <w:t>521.260,02</w:t>
            </w:r>
          </w:p>
        </w:tc>
        <w:tc>
          <w:tcPr>
            <w:tcW w:w="1860" w:type="dxa"/>
            <w:tcMar>
              <w:top w:w="0" w:type="dxa"/>
              <w:bottom w:w="0" w:type="dxa"/>
            </w:tcMar>
            <w:vAlign w:val="center"/>
          </w:tcPr>
          <w:p w14:paraId="41867816" w14:textId="77777777" w:rsidR="00A50D12" w:rsidRDefault="00000000">
            <w:pPr>
              <w:keepNext/>
              <w:keepLines/>
              <w:spacing w:after="0" w:line="240" w:lineRule="auto"/>
              <w:jc w:val="right"/>
            </w:pPr>
            <w:r>
              <w:rPr>
                <w:sz w:val="18"/>
              </w:rPr>
              <w:t>1.108.531,00</w:t>
            </w:r>
          </w:p>
        </w:tc>
        <w:tc>
          <w:tcPr>
            <w:tcW w:w="700" w:type="dxa"/>
            <w:tcMar>
              <w:top w:w="0" w:type="dxa"/>
              <w:bottom w:w="0" w:type="dxa"/>
            </w:tcMar>
            <w:vAlign w:val="center"/>
          </w:tcPr>
          <w:p w14:paraId="5EB9CB04" w14:textId="77777777" w:rsidR="00A50D12" w:rsidRDefault="00000000">
            <w:pPr>
              <w:keepNext/>
              <w:keepLines/>
              <w:spacing w:after="0" w:line="240" w:lineRule="auto"/>
              <w:jc w:val="right"/>
            </w:pPr>
            <w:r>
              <w:rPr>
                <w:sz w:val="18"/>
              </w:rPr>
              <w:t>212,7</w:t>
            </w:r>
          </w:p>
        </w:tc>
      </w:tr>
    </w:tbl>
    <w:p w14:paraId="7224A6DE" w14:textId="77777777" w:rsidR="00A50D12" w:rsidRDefault="00A50D12">
      <w:pPr>
        <w:spacing w:after="0"/>
      </w:pPr>
    </w:p>
    <w:p w14:paraId="03227C74" w14:textId="77777777" w:rsidR="00A50D12" w:rsidRDefault="00000000">
      <w:r>
        <w:t>Konto 096- Dodatne usluge u obrazovanju se odnose na redoviti prijevoz učenika te prijevoz učenika u posebnom razrednom odjelu za djecu s teškoćama u razvoju čiju smo suglasnost dobili od strane Ministarstva, EU projekte, Školski medni dan, projekt Učimo zajedno VII, prehrana učenika, higijenske potrepštine, nabava školskih udžbenika te rashode za cjelodnevnu nastavu.</w:t>
      </w:r>
    </w:p>
    <w:p w14:paraId="5D0D0D89" w14:textId="77777777" w:rsidR="00A50D12" w:rsidRDefault="00000000">
      <w:r>
        <w:t> </w:t>
      </w:r>
    </w:p>
    <w:p w14:paraId="58CD1EBB" w14:textId="77777777" w:rsidR="00A50D12" w:rsidRDefault="00000000">
      <w:r>
        <w:t> </w:t>
      </w:r>
    </w:p>
    <w:p w14:paraId="5020D43C" w14:textId="77777777" w:rsidR="00A50D12" w:rsidRDefault="00A50D12"/>
    <w:p w14:paraId="167AD5A5" w14:textId="77777777" w:rsidR="00A50D12" w:rsidRDefault="00000000">
      <w:pPr>
        <w:keepNext/>
        <w:spacing w:line="240" w:lineRule="auto"/>
        <w:jc w:val="center"/>
      </w:pPr>
      <w:r>
        <w:rPr>
          <w:b/>
          <w:sz w:val="28"/>
        </w:rPr>
        <w:t>Promjene u vrijednosti i obujmu imovine i obveza</w:t>
      </w:r>
    </w:p>
    <w:p w14:paraId="0162D83D" w14:textId="77777777" w:rsidR="00A50D12"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A50D12" w14:paraId="2C6A15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0E3F9A"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AACD90"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9CF1B7"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F1E29A" w14:textId="77777777" w:rsidR="00A50D12"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18F2815" w14:textId="77777777" w:rsidR="00A50D12"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C01641B" w14:textId="77777777" w:rsidR="00A50D12" w:rsidRDefault="00000000">
            <w:pPr>
              <w:keepNext/>
              <w:keepLines/>
              <w:spacing w:after="0" w:line="240" w:lineRule="auto"/>
              <w:jc w:val="center"/>
            </w:pPr>
            <w:r>
              <w:rPr>
                <w:b/>
                <w:sz w:val="18"/>
              </w:rPr>
              <w:t>Indeks (%)</w:t>
            </w:r>
          </w:p>
        </w:tc>
      </w:tr>
      <w:tr w:rsidR="00A50D12" w14:paraId="7E0AD684" w14:textId="77777777">
        <w:tblPrEx>
          <w:tblCellMar>
            <w:top w:w="0" w:type="dxa"/>
            <w:bottom w:w="0" w:type="dxa"/>
          </w:tblCellMar>
        </w:tblPrEx>
        <w:trPr>
          <w:cantSplit/>
          <w:trHeight w:val="560"/>
        </w:trPr>
        <w:tc>
          <w:tcPr>
            <w:tcW w:w="700" w:type="dxa"/>
            <w:tcMar>
              <w:top w:w="0" w:type="dxa"/>
              <w:bottom w:w="0" w:type="dxa"/>
            </w:tcMar>
            <w:vAlign w:val="center"/>
          </w:tcPr>
          <w:p w14:paraId="7CC045B2" w14:textId="77777777" w:rsidR="00A50D12" w:rsidRDefault="00A50D12">
            <w:pPr>
              <w:keepNext/>
              <w:keepLines/>
              <w:spacing w:after="0" w:line="240" w:lineRule="auto"/>
            </w:pPr>
          </w:p>
        </w:tc>
        <w:tc>
          <w:tcPr>
            <w:tcW w:w="3180" w:type="dxa"/>
            <w:tcMar>
              <w:top w:w="0" w:type="dxa"/>
              <w:bottom w:w="0" w:type="dxa"/>
            </w:tcMar>
            <w:vAlign w:val="center"/>
          </w:tcPr>
          <w:p w14:paraId="773EC13C" w14:textId="77777777" w:rsidR="00A50D12"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3D881980" w14:textId="77777777" w:rsidR="00A50D12" w:rsidRDefault="00000000">
            <w:pPr>
              <w:keepNext/>
              <w:keepLines/>
              <w:spacing w:after="0" w:line="240" w:lineRule="auto"/>
            </w:pPr>
            <w:r>
              <w:rPr>
                <w:sz w:val="18"/>
              </w:rPr>
              <w:t>P003</w:t>
            </w:r>
          </w:p>
        </w:tc>
        <w:tc>
          <w:tcPr>
            <w:tcW w:w="1860" w:type="dxa"/>
            <w:tcMar>
              <w:top w:w="0" w:type="dxa"/>
              <w:bottom w:w="0" w:type="dxa"/>
            </w:tcMar>
            <w:vAlign w:val="center"/>
          </w:tcPr>
          <w:p w14:paraId="29472356" w14:textId="77777777" w:rsidR="00A50D12" w:rsidRDefault="00000000">
            <w:pPr>
              <w:keepNext/>
              <w:keepLines/>
              <w:spacing w:after="0" w:line="240" w:lineRule="auto"/>
              <w:jc w:val="right"/>
            </w:pPr>
            <w:r>
              <w:rPr>
                <w:sz w:val="18"/>
              </w:rPr>
              <w:t>0,00</w:t>
            </w:r>
          </w:p>
        </w:tc>
        <w:tc>
          <w:tcPr>
            <w:tcW w:w="1860" w:type="dxa"/>
            <w:tcMar>
              <w:top w:w="0" w:type="dxa"/>
              <w:bottom w:w="0" w:type="dxa"/>
            </w:tcMar>
            <w:vAlign w:val="center"/>
          </w:tcPr>
          <w:p w14:paraId="292359EF" w14:textId="77777777" w:rsidR="00A50D12" w:rsidRDefault="00000000">
            <w:pPr>
              <w:keepNext/>
              <w:keepLines/>
              <w:spacing w:after="0" w:line="240" w:lineRule="auto"/>
              <w:jc w:val="right"/>
            </w:pPr>
            <w:r>
              <w:rPr>
                <w:sz w:val="18"/>
              </w:rPr>
              <w:t>66.509,73</w:t>
            </w:r>
          </w:p>
        </w:tc>
        <w:tc>
          <w:tcPr>
            <w:tcW w:w="700" w:type="dxa"/>
            <w:tcMar>
              <w:top w:w="0" w:type="dxa"/>
              <w:bottom w:w="0" w:type="dxa"/>
            </w:tcMar>
            <w:vAlign w:val="center"/>
          </w:tcPr>
          <w:p w14:paraId="4C3DE86F" w14:textId="77777777" w:rsidR="00A50D12" w:rsidRDefault="00000000">
            <w:pPr>
              <w:keepNext/>
              <w:keepLines/>
              <w:spacing w:after="0" w:line="240" w:lineRule="auto"/>
              <w:jc w:val="right"/>
            </w:pPr>
            <w:r>
              <w:rPr>
                <w:sz w:val="18"/>
              </w:rPr>
              <w:t>-</w:t>
            </w:r>
          </w:p>
        </w:tc>
      </w:tr>
    </w:tbl>
    <w:p w14:paraId="00D49140" w14:textId="77777777" w:rsidR="00A50D12" w:rsidRDefault="00A50D12">
      <w:pPr>
        <w:spacing w:after="0"/>
      </w:pPr>
    </w:p>
    <w:p w14:paraId="75D4EB23" w14:textId="77777777" w:rsidR="00A50D12" w:rsidRDefault="00000000">
      <w:r>
        <w:t>Ispravak vrijednosti dugotrajne imovine za 2025. godinu iskazan je kroz obrazac P- VRIO kao smanjenje vrijednosti i obujma imovine.</w:t>
      </w:r>
    </w:p>
    <w:p w14:paraId="044D81F9" w14:textId="77777777" w:rsidR="00A50D12" w:rsidRDefault="00A50D12"/>
    <w:p w14:paraId="2C7FEDD2" w14:textId="77777777" w:rsidR="00A50D12" w:rsidRDefault="00000000">
      <w:pPr>
        <w:keepNext/>
        <w:spacing w:line="240" w:lineRule="auto"/>
        <w:jc w:val="center"/>
      </w:pPr>
      <w:r>
        <w:rPr>
          <w:b/>
          <w:sz w:val="28"/>
        </w:rPr>
        <w:t>Izvještaj o obvezama</w:t>
      </w:r>
    </w:p>
    <w:p w14:paraId="42D36C41" w14:textId="77777777" w:rsidR="00A50D12"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50D12" w14:paraId="1225FA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ECC0B8"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AA3B24"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ABCE49"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15AA40" w14:textId="77777777" w:rsidR="00A50D1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D312A05" w14:textId="77777777" w:rsidR="00A50D12" w:rsidRDefault="00000000">
            <w:pPr>
              <w:keepNext/>
              <w:keepLines/>
              <w:spacing w:after="0" w:line="240" w:lineRule="auto"/>
              <w:jc w:val="center"/>
            </w:pPr>
            <w:r>
              <w:rPr>
                <w:b/>
                <w:sz w:val="18"/>
              </w:rPr>
              <w:t>Indeks (%)</w:t>
            </w:r>
          </w:p>
        </w:tc>
      </w:tr>
      <w:tr w:rsidR="00A50D12" w14:paraId="0640BE53" w14:textId="77777777">
        <w:tblPrEx>
          <w:tblCellMar>
            <w:top w:w="0" w:type="dxa"/>
            <w:bottom w:w="0" w:type="dxa"/>
          </w:tblCellMar>
        </w:tblPrEx>
        <w:trPr>
          <w:cantSplit/>
          <w:trHeight w:val="560"/>
        </w:trPr>
        <w:tc>
          <w:tcPr>
            <w:tcW w:w="700" w:type="dxa"/>
            <w:tcMar>
              <w:top w:w="0" w:type="dxa"/>
              <w:bottom w:w="0" w:type="dxa"/>
            </w:tcMar>
            <w:vAlign w:val="center"/>
          </w:tcPr>
          <w:p w14:paraId="560E983C" w14:textId="77777777" w:rsidR="00A50D12" w:rsidRDefault="00A50D12">
            <w:pPr>
              <w:keepNext/>
              <w:keepLines/>
              <w:spacing w:after="0" w:line="240" w:lineRule="auto"/>
            </w:pPr>
          </w:p>
        </w:tc>
        <w:tc>
          <w:tcPr>
            <w:tcW w:w="3180" w:type="dxa"/>
            <w:tcMar>
              <w:top w:w="0" w:type="dxa"/>
              <w:bottom w:w="0" w:type="dxa"/>
            </w:tcMar>
            <w:vAlign w:val="center"/>
          </w:tcPr>
          <w:p w14:paraId="08F32A64" w14:textId="77777777" w:rsidR="00A50D12"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73ADE3B7" w14:textId="77777777" w:rsidR="00A50D12" w:rsidRDefault="00000000">
            <w:pPr>
              <w:keepNext/>
              <w:keepLines/>
              <w:spacing w:after="0" w:line="240" w:lineRule="auto"/>
            </w:pPr>
            <w:r>
              <w:rPr>
                <w:sz w:val="18"/>
              </w:rPr>
              <w:t>V001</w:t>
            </w:r>
          </w:p>
        </w:tc>
        <w:tc>
          <w:tcPr>
            <w:tcW w:w="1860" w:type="dxa"/>
            <w:tcMar>
              <w:top w:w="0" w:type="dxa"/>
              <w:bottom w:w="0" w:type="dxa"/>
            </w:tcMar>
            <w:vAlign w:val="center"/>
          </w:tcPr>
          <w:p w14:paraId="7105D5D2" w14:textId="77777777" w:rsidR="00A50D12" w:rsidRDefault="00000000">
            <w:pPr>
              <w:keepNext/>
              <w:keepLines/>
              <w:spacing w:after="0" w:line="240" w:lineRule="auto"/>
              <w:jc w:val="right"/>
            </w:pPr>
            <w:r>
              <w:rPr>
                <w:sz w:val="18"/>
              </w:rPr>
              <w:t>183.315,79</w:t>
            </w:r>
          </w:p>
        </w:tc>
        <w:tc>
          <w:tcPr>
            <w:tcW w:w="700" w:type="dxa"/>
            <w:tcMar>
              <w:top w:w="0" w:type="dxa"/>
              <w:bottom w:w="0" w:type="dxa"/>
            </w:tcMar>
            <w:vAlign w:val="center"/>
          </w:tcPr>
          <w:p w14:paraId="07E8BA53" w14:textId="77777777" w:rsidR="00A50D12" w:rsidRDefault="00000000">
            <w:pPr>
              <w:keepNext/>
              <w:keepLines/>
              <w:spacing w:after="0" w:line="240" w:lineRule="auto"/>
              <w:jc w:val="right"/>
            </w:pPr>
            <w:r>
              <w:rPr>
                <w:sz w:val="18"/>
              </w:rPr>
              <w:t>-</w:t>
            </w:r>
          </w:p>
        </w:tc>
      </w:tr>
    </w:tbl>
    <w:p w14:paraId="7CD22428" w14:textId="77777777" w:rsidR="00A50D12" w:rsidRDefault="00A50D12">
      <w:pPr>
        <w:spacing w:after="0"/>
      </w:pPr>
    </w:p>
    <w:p w14:paraId="24C2009A" w14:textId="77777777" w:rsidR="00A50D12" w:rsidRDefault="00000000">
      <w:r>
        <w:t>Stanje obveza 1. siječnja iznosi 183.315,79 €. To se odnosi na nepodmirene obveze iz prošle proračunske godine koje su prenesene u 2025. godinu.</w:t>
      </w:r>
    </w:p>
    <w:p w14:paraId="419DE757" w14:textId="77777777" w:rsidR="00A50D12" w:rsidRDefault="00A50D12"/>
    <w:p w14:paraId="61C0D4D0" w14:textId="77777777" w:rsidR="00A50D12"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50D12" w14:paraId="56819E9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B11218"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0FF716"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86F50F"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743A21" w14:textId="77777777" w:rsidR="00A50D1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1E70397" w14:textId="77777777" w:rsidR="00A50D12" w:rsidRDefault="00000000">
            <w:pPr>
              <w:keepNext/>
              <w:keepLines/>
              <w:spacing w:after="0" w:line="240" w:lineRule="auto"/>
              <w:jc w:val="center"/>
            </w:pPr>
            <w:r>
              <w:rPr>
                <w:b/>
                <w:sz w:val="18"/>
              </w:rPr>
              <w:t>Indeks (%)</w:t>
            </w:r>
          </w:p>
        </w:tc>
      </w:tr>
      <w:tr w:rsidR="00A50D12" w14:paraId="2045FD32" w14:textId="77777777">
        <w:tblPrEx>
          <w:tblCellMar>
            <w:top w:w="0" w:type="dxa"/>
            <w:bottom w:w="0" w:type="dxa"/>
          </w:tblCellMar>
        </w:tblPrEx>
        <w:trPr>
          <w:cantSplit/>
          <w:trHeight w:val="560"/>
        </w:trPr>
        <w:tc>
          <w:tcPr>
            <w:tcW w:w="700" w:type="dxa"/>
            <w:tcMar>
              <w:top w:w="0" w:type="dxa"/>
              <w:bottom w:w="0" w:type="dxa"/>
            </w:tcMar>
            <w:vAlign w:val="center"/>
          </w:tcPr>
          <w:p w14:paraId="45AD9518" w14:textId="77777777" w:rsidR="00A50D12" w:rsidRDefault="00A50D12">
            <w:pPr>
              <w:keepNext/>
              <w:keepLines/>
              <w:spacing w:after="0" w:line="240" w:lineRule="auto"/>
            </w:pPr>
          </w:p>
        </w:tc>
        <w:tc>
          <w:tcPr>
            <w:tcW w:w="3180" w:type="dxa"/>
            <w:tcMar>
              <w:top w:w="0" w:type="dxa"/>
              <w:bottom w:w="0" w:type="dxa"/>
            </w:tcMar>
            <w:vAlign w:val="center"/>
          </w:tcPr>
          <w:p w14:paraId="2F3D80D4" w14:textId="77777777" w:rsidR="00A50D12"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58406F3" w14:textId="77777777" w:rsidR="00A50D12" w:rsidRDefault="00000000">
            <w:pPr>
              <w:keepNext/>
              <w:keepLines/>
              <w:spacing w:after="0" w:line="240" w:lineRule="auto"/>
            </w:pPr>
            <w:r>
              <w:rPr>
                <w:sz w:val="18"/>
              </w:rPr>
              <w:t>V007</w:t>
            </w:r>
          </w:p>
        </w:tc>
        <w:tc>
          <w:tcPr>
            <w:tcW w:w="1860" w:type="dxa"/>
            <w:tcMar>
              <w:top w:w="0" w:type="dxa"/>
              <w:bottom w:w="0" w:type="dxa"/>
            </w:tcMar>
            <w:vAlign w:val="center"/>
          </w:tcPr>
          <w:p w14:paraId="150B927D" w14:textId="77777777" w:rsidR="00A50D12" w:rsidRDefault="00000000">
            <w:pPr>
              <w:keepNext/>
              <w:keepLines/>
              <w:spacing w:after="0" w:line="240" w:lineRule="auto"/>
              <w:jc w:val="right"/>
            </w:pPr>
            <w:r>
              <w:rPr>
                <w:sz w:val="18"/>
              </w:rPr>
              <w:t>28.722,24</w:t>
            </w:r>
          </w:p>
        </w:tc>
        <w:tc>
          <w:tcPr>
            <w:tcW w:w="700" w:type="dxa"/>
            <w:tcMar>
              <w:top w:w="0" w:type="dxa"/>
              <w:bottom w:w="0" w:type="dxa"/>
            </w:tcMar>
            <w:vAlign w:val="center"/>
          </w:tcPr>
          <w:p w14:paraId="77FF82B3" w14:textId="77777777" w:rsidR="00A50D12" w:rsidRDefault="00000000">
            <w:pPr>
              <w:keepNext/>
              <w:keepLines/>
              <w:spacing w:after="0" w:line="240" w:lineRule="auto"/>
              <w:jc w:val="right"/>
            </w:pPr>
            <w:r>
              <w:rPr>
                <w:sz w:val="18"/>
              </w:rPr>
              <w:t>-</w:t>
            </w:r>
          </w:p>
        </w:tc>
      </w:tr>
    </w:tbl>
    <w:p w14:paraId="380F3DDB" w14:textId="77777777" w:rsidR="00A50D12" w:rsidRDefault="00A50D12">
      <w:pPr>
        <w:spacing w:after="0"/>
      </w:pPr>
    </w:p>
    <w:p w14:paraId="3BC4DA78" w14:textId="77777777" w:rsidR="00A50D12" w:rsidRDefault="00000000">
      <w:r>
        <w:t> Osnovna škola Tin Ujević, Krivodol sudjeluje u Eksperimentalnom programu "Osnovna Škola kao cjelodnevna škola". Ulaskom u program povećane su i druge aktivnosti u okviru navedenog programa (prilagodba i uređenje objekata, opremanje škole, nabava vozila itd).</w:t>
      </w:r>
    </w:p>
    <w:p w14:paraId="09FDF441" w14:textId="77777777" w:rsidR="00A50D12" w:rsidRDefault="00000000">
      <w:r>
        <w:t>Sukladno sklopljenim ugovorima MZOM je preuzelo obvezu plaćanja nastalih obveza. Škola obveze prema dobavljačima zatvara po obavijesti koju škola primi od strane MZOM. Na datum 31.12.2025. iskazan je manji  iznos dospjelih obveza (do 60 dana) i jedna (do 180 dana).</w:t>
      </w:r>
    </w:p>
    <w:p w14:paraId="6E90201A" w14:textId="77777777" w:rsidR="00A50D12" w:rsidRDefault="00000000">
      <w:r>
        <w:t> Uvođenjem  Riznice, škola zahtjeve za plaćanja obveza prema dobavljačima šalje osnivaču, koji zahtjeve obrađuje i plaća. Ulaskom u  Eksperimentalni program došlo je do povećanja predanih zahtjeva (najam opreme, prehrana učenika, prijevoz školskih obroka itd) koje škola zatvara  po obavijesti županije. Po obradi Zahtjeva , a što iziskuje malo više vremena, iskazane dospjele obveze se podmirene u siječnju 2026. godine. Zbog svega navedenog na poziciji V007 iskazan je iznos 28.722,24 € nepodmirenih obveza.</w:t>
      </w:r>
    </w:p>
    <w:p w14:paraId="2A2C7205" w14:textId="77777777" w:rsidR="00A50D12" w:rsidRDefault="00000000">
      <w:r>
        <w:t> </w:t>
      </w:r>
    </w:p>
    <w:p w14:paraId="061EE4F0" w14:textId="77777777" w:rsidR="00A50D12" w:rsidRDefault="00000000">
      <w:r>
        <w:t> </w:t>
      </w:r>
    </w:p>
    <w:p w14:paraId="6A418AB9" w14:textId="77777777" w:rsidR="00A50D12" w:rsidRDefault="00A50D12"/>
    <w:p w14:paraId="6F73DC9B" w14:textId="77777777" w:rsidR="00A50D12"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A50D12" w14:paraId="188656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E31ABF" w14:textId="77777777" w:rsidR="00A50D12"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85F5B8" w14:textId="77777777" w:rsidR="00A50D1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304FA2" w14:textId="77777777" w:rsidR="00A50D1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6BF81A" w14:textId="77777777" w:rsidR="00A50D1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81A0031" w14:textId="77777777" w:rsidR="00A50D12" w:rsidRDefault="00000000">
            <w:pPr>
              <w:keepNext/>
              <w:keepLines/>
              <w:spacing w:after="0" w:line="240" w:lineRule="auto"/>
              <w:jc w:val="center"/>
            </w:pPr>
            <w:r>
              <w:rPr>
                <w:b/>
                <w:sz w:val="18"/>
              </w:rPr>
              <w:t>Indeks (%)</w:t>
            </w:r>
          </w:p>
        </w:tc>
      </w:tr>
      <w:tr w:rsidR="00A50D12" w14:paraId="5DE83078" w14:textId="77777777">
        <w:tblPrEx>
          <w:tblCellMar>
            <w:top w:w="0" w:type="dxa"/>
            <w:bottom w:w="0" w:type="dxa"/>
          </w:tblCellMar>
        </w:tblPrEx>
        <w:trPr>
          <w:cantSplit/>
          <w:trHeight w:val="560"/>
        </w:trPr>
        <w:tc>
          <w:tcPr>
            <w:tcW w:w="700" w:type="dxa"/>
            <w:tcMar>
              <w:top w:w="0" w:type="dxa"/>
              <w:bottom w:w="0" w:type="dxa"/>
            </w:tcMar>
            <w:vAlign w:val="center"/>
          </w:tcPr>
          <w:p w14:paraId="74B7326F" w14:textId="77777777" w:rsidR="00A50D12" w:rsidRDefault="00A50D12">
            <w:pPr>
              <w:keepNext/>
              <w:keepLines/>
              <w:spacing w:after="0" w:line="240" w:lineRule="auto"/>
            </w:pPr>
          </w:p>
        </w:tc>
        <w:tc>
          <w:tcPr>
            <w:tcW w:w="3180" w:type="dxa"/>
            <w:tcMar>
              <w:top w:w="0" w:type="dxa"/>
              <w:bottom w:w="0" w:type="dxa"/>
            </w:tcMar>
            <w:vAlign w:val="center"/>
          </w:tcPr>
          <w:p w14:paraId="3316D080" w14:textId="77777777" w:rsidR="00A50D12"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0D4981DD" w14:textId="77777777" w:rsidR="00A50D12" w:rsidRDefault="00000000">
            <w:pPr>
              <w:keepNext/>
              <w:keepLines/>
              <w:spacing w:after="0" w:line="240" w:lineRule="auto"/>
            </w:pPr>
            <w:r>
              <w:rPr>
                <w:sz w:val="18"/>
              </w:rPr>
              <w:t>V009</w:t>
            </w:r>
          </w:p>
        </w:tc>
        <w:tc>
          <w:tcPr>
            <w:tcW w:w="1860" w:type="dxa"/>
            <w:tcMar>
              <w:top w:w="0" w:type="dxa"/>
              <w:bottom w:w="0" w:type="dxa"/>
            </w:tcMar>
            <w:vAlign w:val="center"/>
          </w:tcPr>
          <w:p w14:paraId="5807BA13" w14:textId="77777777" w:rsidR="00A50D12" w:rsidRDefault="00000000">
            <w:pPr>
              <w:keepNext/>
              <w:keepLines/>
              <w:spacing w:after="0" w:line="240" w:lineRule="auto"/>
              <w:jc w:val="right"/>
            </w:pPr>
            <w:r>
              <w:rPr>
                <w:sz w:val="18"/>
              </w:rPr>
              <w:t>204.744,49</w:t>
            </w:r>
          </w:p>
        </w:tc>
        <w:tc>
          <w:tcPr>
            <w:tcW w:w="700" w:type="dxa"/>
            <w:tcMar>
              <w:top w:w="0" w:type="dxa"/>
              <w:bottom w:w="0" w:type="dxa"/>
            </w:tcMar>
            <w:vAlign w:val="center"/>
          </w:tcPr>
          <w:p w14:paraId="3B7A4CFC" w14:textId="77777777" w:rsidR="00A50D12" w:rsidRDefault="00000000">
            <w:pPr>
              <w:keepNext/>
              <w:keepLines/>
              <w:spacing w:after="0" w:line="240" w:lineRule="auto"/>
              <w:jc w:val="right"/>
            </w:pPr>
            <w:r>
              <w:rPr>
                <w:sz w:val="18"/>
              </w:rPr>
              <w:t>-</w:t>
            </w:r>
          </w:p>
        </w:tc>
      </w:tr>
    </w:tbl>
    <w:p w14:paraId="2F984C07" w14:textId="77777777" w:rsidR="00A50D12" w:rsidRDefault="00A50D12">
      <w:pPr>
        <w:spacing w:after="0"/>
      </w:pPr>
    </w:p>
    <w:p w14:paraId="00A9799F" w14:textId="77777777" w:rsidR="00A50D12" w:rsidRDefault="00000000">
      <w:r>
        <w:lastRenderedPageBreak/>
        <w:t>Stanje nedospjelih obveza na kraju izvještajnog razdoblja iznosi 204.744,49 €. Navedene obveze se odnose na obveze za isplatu sredstava za materijalne rashode za 12/2025 , te na obveze za isplatu plaća za 12/2025 za zaposlene u sustavu obrazovanja , obveza za isplatu plaće za pomoćnike u nastavi, te materijalna prava zaposlenih za studeni i prosinac 2025. godine.</w:t>
      </w:r>
    </w:p>
    <w:p w14:paraId="00AB6A69" w14:textId="77777777" w:rsidR="00A50D12" w:rsidRDefault="00A50D12"/>
    <w:p w14:paraId="4B1DE09D" w14:textId="77777777" w:rsidR="00A50D12" w:rsidRDefault="00000000">
      <w:pPr>
        <w:keepNext/>
        <w:spacing w:line="240" w:lineRule="auto"/>
        <w:jc w:val="center"/>
      </w:pPr>
      <w:r>
        <w:rPr>
          <w:sz w:val="28"/>
        </w:rPr>
        <w:t>Bilješka 23.</w:t>
      </w:r>
    </w:p>
    <w:p w14:paraId="543EBB4A" w14:textId="77777777" w:rsidR="00A50D12" w:rsidRDefault="00000000">
      <w:pPr>
        <w:spacing w:line="240" w:lineRule="auto"/>
        <w:jc w:val="both"/>
      </w:pPr>
      <w:r>
        <w:rPr>
          <w:b/>
        </w:rPr>
        <w:t>EU izvještaj</w:t>
      </w:r>
    </w:p>
    <w:p w14:paraId="05A3E5B8" w14:textId="77777777" w:rsidR="00A50D12" w:rsidRDefault="00000000">
      <w:r>
        <w:t>Program nacionalno sufinanciranje</w:t>
      </w:r>
    </w:p>
    <w:p w14:paraId="7BB08388" w14:textId="77777777" w:rsidR="00A50D12" w:rsidRDefault="00000000">
      <w:r>
        <w:t>Tekući prijenosi između proračunskih korisnika istog proračuna u izvještajnom  razdoblju 2025. iznose 4.844,61eura što je za 2,00 % više u odnosu na ostvarene prihode  u izvještajnom razdoblju 2024. godine. Na navedenom kontu je knjiženo 15% ukupnog iznosa bespovratnih sredstava u projektu Učimo zajedno VII (prema uputama nadležnog proračuna).</w:t>
      </w:r>
    </w:p>
    <w:p w14:paraId="3DB2E162" w14:textId="77777777" w:rsidR="00A50D12" w:rsidRDefault="00000000">
      <w:r>
        <w:t>Europski socijalni fond plus</w:t>
      </w:r>
    </w:p>
    <w:p w14:paraId="127D3283" w14:textId="77777777" w:rsidR="00A50D12" w:rsidRDefault="00000000">
      <w:r>
        <w:t>Tekući prijenosi između PK istog proračuna temeljem prijenosa EU sredstava u izvještajnom razdoblju 2025. iznose 27.453,01 eura što je za 2,00 % više u odnosu na ostvarene prihode 2024. godine. Na navedenom kontu je knjiženo 85% ukupnog iznosa bespovratnih sredstava u projektu Učimo zajedno VII (prema uputama nadležnog proračuna).</w:t>
      </w:r>
    </w:p>
    <w:p w14:paraId="6807911F" w14:textId="77777777" w:rsidR="00A50D12" w:rsidRDefault="00A50D12"/>
    <w:sectPr w:rsidR="00A50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12"/>
    <w:rsid w:val="000A72B2"/>
    <w:rsid w:val="001E41F9"/>
    <w:rsid w:val="00A50D12"/>
    <w:rsid w:val="00D061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DA294"/>
  <w15:docId w15:val="{E98A5EDD-1D02-40B5-A5C8-9513DB8B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2394</Words>
  <Characters>13647</Characters>
  <Application>Microsoft Office Word</Application>
  <DocSecurity>0</DocSecurity>
  <Lines>113</Lines>
  <Paragraphs>32</Paragraphs>
  <ScaleCrop>false</ScaleCrop>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Tatjana Karin</cp:lastModifiedBy>
  <cp:revision>2</cp:revision>
  <dcterms:created xsi:type="dcterms:W3CDTF">2026-02-02T08:41:00Z</dcterms:created>
  <dcterms:modified xsi:type="dcterms:W3CDTF">2026-02-02T08:41:00Z</dcterms:modified>
</cp:coreProperties>
</file>